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0"/>
      </w:pPr>
      <w:r>
        <w:rPr>
          <w:rFonts w:ascii="Times New Roman"/>
        </w:rPr>
        <w:t>ICS</w:t>
      </w:r>
      <w:r>
        <w:rPr>
          <w:rFonts w:hint="eastAsia" w:ascii="MS Mincho" w:hAnsi="MS Mincho" w:eastAsia="MS Mincho" w:cs="MS Mincho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01.040.65</w:t>
      </w:r>
      <w:r>
        <w:fldChar w:fldCharType="end"/>
      </w:r>
      <w:bookmarkEnd w:id="0"/>
    </w:p>
    <w:p>
      <w:pPr>
        <w:pStyle w:val="180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B02</w:t>
      </w:r>
      <w:r>
        <w:fldChar w:fldCharType="end"/>
      </w:r>
      <w:bookmarkEnd w:id="1"/>
    </w:p>
    <w:tbl>
      <w:tblPr>
        <w:tblStyle w:val="96"/>
        <w:tblW w:w="95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80"/>
            </w:pPr>
            <w:r>
              <w:pict>
                <v:rect id="BAH" o:spid="_x0000_s1039" o:spt="1" style="position:absolute;left:0pt;margin-left:-5.25pt;margin-top:0pt;height:15.6pt;width:68.25pt;z-index:-251656192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>
      <w:pPr>
        <w:pStyle w:val="123"/>
      </w:pPr>
      <w:bookmarkStart w:id="3" w:name="c1"/>
      <w:r>
        <w:fldChar w:fldCharType="begin">
          <w:ffData>
            <w:name w:val="c1"/>
            <w:enabled/>
            <w:calcOnExit w:val="0"/>
            <w:entryMacro w:val="ShowHelp15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GH</w:t>
      </w:r>
      <w:r>
        <w:fldChar w:fldCharType="end"/>
      </w:r>
      <w:bookmarkEnd w:id="3"/>
    </w:p>
    <w:p>
      <w:pPr>
        <w:pStyle w:val="167"/>
      </w:pPr>
      <w:r>
        <w:rPr>
          <w:rFonts w:hint="eastAsia"/>
        </w:rPr>
        <w:t>中华人民共和国</w:t>
      </w:r>
      <w:bookmarkStart w:id="4" w:name="c2"/>
      <w: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供销合作</w:t>
      </w:r>
      <w:r>
        <w:fldChar w:fldCharType="end"/>
      </w:r>
      <w:bookmarkEnd w:id="4"/>
      <w:r>
        <w:rPr>
          <w:rFonts w:hint="eastAsia"/>
        </w:rPr>
        <w:t>行业标准</w:t>
      </w:r>
    </w:p>
    <w:p>
      <w:pPr>
        <w:pStyle w:val="104"/>
        <w:rPr>
          <w:rFonts w:hAnsi="黑体"/>
        </w:rPr>
      </w:pPr>
      <w:bookmarkStart w:id="5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hint="eastAsia" w:ascii="Times New Roman"/>
        </w:rPr>
        <w:t>GH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 xml:space="preserve">/T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Style w:val="96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33"/>
            </w:pPr>
            <w:bookmarkStart w:id="8" w:name="DT"/>
            <w:r>
              <w:pict>
                <v:rect id="DT" o:spid="_x0000_s1036" o:spt="1" style="position:absolute;left:0pt;margin-left:372.8pt;margin-top:2.7pt;height:18pt;width:90pt;z-index:-251659264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>
      <w:pPr>
        <w:pStyle w:val="104"/>
        <w:rPr>
          <w:rFonts w:hAnsi="黑体"/>
        </w:rPr>
      </w:pPr>
    </w:p>
    <w:p>
      <w:pPr>
        <w:pStyle w:val="104"/>
        <w:rPr>
          <w:rFonts w:hAnsi="黑体"/>
        </w:rPr>
      </w:pPr>
    </w:p>
    <w:p>
      <w:pPr>
        <w:pStyle w:val="135"/>
      </w:pPr>
      <w:bookmarkStart w:id="9" w:name="StdName"/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农资仓储安全管理指南</w:t>
      </w:r>
      <w:r>
        <w:fldChar w:fldCharType="end"/>
      </w:r>
      <w:bookmarkEnd w:id="9"/>
    </w:p>
    <w:p>
      <w:pPr>
        <w:pStyle w:val="136"/>
        <w:rPr>
          <w:sz w:val="24"/>
          <w:szCs w:val="24"/>
        </w:rPr>
      </w:pPr>
      <w:bookmarkStart w:id="10" w:name="StdEnglishName"/>
      <w:r>
        <w:rPr>
          <w:sz w:val="24"/>
          <w:szCs w:val="24"/>
        </w:rP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Guidelines for storage safety management of agricultural production materials enterprises</w:t>
      </w:r>
      <w:r>
        <w:rPr>
          <w:sz w:val="24"/>
          <w:szCs w:val="24"/>
        </w:rPr>
        <w:fldChar w:fldCharType="end"/>
      </w:r>
      <w:bookmarkEnd w:id="10"/>
    </w:p>
    <w:p>
      <w:pPr>
        <w:pStyle w:val="137"/>
      </w:pPr>
      <w:bookmarkStart w:id="11" w:name="YZBS"/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在提交反馈意见时，请将您知道的相关专利连同支持性文件一并附上。</w:t>
      </w:r>
      <w:r>
        <w:fldChar w:fldCharType="end"/>
      </w:r>
      <w:bookmarkEnd w:id="11"/>
    </w:p>
    <w:tbl>
      <w:tblPr>
        <w:tblStyle w:val="96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38"/>
            </w:pPr>
            <w:r>
              <w:pict>
                <v:rect id="RQ" o:spid="_x0000_s1038" o:spt="1" style="position:absolute;left:0pt;margin-left:173.3pt;margin-top:45.15pt;height:20pt;width:150pt;z-index:-251657216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pict>
                <v:rect id="LB" o:spid="_x0000_s1037" o:spt="1" style="position:absolute;left:0pt;margin-left:193.3pt;margin-top:20.15pt;height:24pt;width:100pt;z-index:-25165824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39"/>
            </w:pPr>
            <w:bookmarkStart w:id="13" w:name="WCRQ"/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（本稿完成日期：）</w:t>
            </w:r>
            <w:r>
              <w:fldChar w:fldCharType="end"/>
            </w:r>
            <w:bookmarkEnd w:id="13"/>
          </w:p>
        </w:tc>
      </w:tr>
    </w:tbl>
    <w:p>
      <w:pPr>
        <w:pStyle w:val="187"/>
      </w:pPr>
      <w:bookmarkStart w:id="246" w:name="_GoBack"/>
      <w:bookmarkStart w:id="14" w:name="FY"/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246"/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pict>
          <v:line id="_x0000_s1034" o:spid="_x0000_s1034" o:spt="20" style="position:absolute;left:0pt;margin-left:-0.05pt;margin-top:728.5pt;height:0pt;width:481.9pt;mso-position-vertical-relative:page;z-index:251655168;mso-width-relative:page;mso-height-relative:page;" coordsize="21600,21600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188"/>
      </w:pPr>
      <w:bookmarkStart w:id="16" w:name="SY"/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p>
      <w:pPr>
        <w:pStyle w:val="168"/>
      </w:pPr>
      <w:bookmarkStart w:id="19" w:name="fm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中华全国供销合作总社</w:t>
      </w:r>
      <w:r>
        <w:fldChar w:fldCharType="end"/>
      </w:r>
      <w:bookmarkEnd w:id="19"/>
      <w:r>
        <w:rPr>
          <w:rFonts w:hint="eastAsia" w:ascii="MS Mincho" w:hAnsi="MS Mincho" w:eastAsia="MS Mincho" w:cs="MS Mincho"/>
        </w:rPr>
        <w:t>   </w:t>
      </w:r>
      <w:r>
        <w:rPr>
          <w:rStyle w:val="130"/>
          <w:rFonts w:hint="eastAsia"/>
        </w:rPr>
        <w:t>发布</w:t>
      </w:r>
    </w:p>
    <w:p>
      <w:pPr>
        <w:pStyle w:val="67"/>
        <w:sectPr>
          <w:headerReference r:id="rId3" w:type="even"/>
          <w:footerReference r:id="rId4" w:type="even"/>
          <w:pgSz w:w="11906" w:h="16838"/>
          <w:pgMar w:top="567" w:right="1134" w:bottom="1134" w:left="1417" w:header="0" w:footer="0" w:gutter="0"/>
          <w:pgNumType w:start="1"/>
          <w:cols w:space="425" w:num="1"/>
          <w:docGrid w:type="lines" w:linePitch="312" w:charSpace="0"/>
        </w:sectPr>
      </w:pPr>
      <w:r>
        <w:pict>
          <v:line id="_x0000_s1035" o:spid="_x0000_s1035" o:spt="20" style="position:absolute;left:0pt;margin-left:-0.05pt;margin-top:184.25pt;height:0pt;width:481.9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107"/>
      </w:pPr>
      <w:bookmarkStart w:id="20" w:name="_Toc479517094"/>
      <w:bookmarkStart w:id="21" w:name="_Toc490925504"/>
      <w:bookmarkStart w:id="22" w:name="_Toc479517367"/>
      <w:bookmarkStart w:id="23" w:name="_Toc465605761"/>
      <w:bookmarkStart w:id="24" w:name="_Toc465523941"/>
      <w:bookmarkStart w:id="25" w:name="_Toc463784353"/>
      <w:bookmarkStart w:id="26" w:name="_Toc463791861"/>
      <w:bookmarkStart w:id="27" w:name="_Toc465605481"/>
      <w:bookmarkStart w:id="28" w:name="_Toc463783970"/>
      <w:bookmarkStart w:id="29" w:name="_Toc479517308"/>
      <w:bookmarkStart w:id="30" w:name="_Toc464041401"/>
      <w:r>
        <w:rPr>
          <w:rFonts w:hint="eastAsia"/>
        </w:rPr>
        <w:t>目</w:t>
      </w:r>
      <w:bookmarkStart w:id="31" w:name="BKML"/>
      <w:r>
        <w:rPr>
          <w:rFonts w:hAnsi="黑体"/>
        </w:rPr>
        <w:t>  </w:t>
      </w:r>
      <w:r>
        <w:rPr>
          <w:rFonts w:hint="eastAsia"/>
        </w:rPr>
        <w:t>次</w:t>
      </w:r>
      <w:bookmarkEnd w:id="31"/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 w:fldLock="1"/>
      </w:r>
      <w:r>
        <w:instrText xml:space="preserve"> </w:instrText>
      </w:r>
      <w:r>
        <w:rPr>
          <w:rFonts w:hint="eastAsia"/>
        </w:rPr>
        <w:instrText xml:space="preserve">TOC \h \z \t"前言、引言标题,1,参考文献、索引标题,1,章标题,1,参考文献,1,附录标识,1" \* MERGEFORMAT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HYPERLINK \l "_Toc494552456" </w:instrText>
      </w:r>
      <w:r>
        <w:fldChar w:fldCharType="separate"/>
      </w:r>
      <w:r>
        <w:rPr>
          <w:rStyle w:val="94"/>
          <w:rFonts w:hint="eastAsia"/>
        </w:rPr>
        <w:t>前言</w:t>
      </w:r>
      <w:r>
        <w:tab/>
      </w:r>
      <w:r>
        <w:fldChar w:fldCharType="begin" w:fldLock="1"/>
      </w:r>
      <w:r>
        <w:instrText xml:space="preserve"> PAGEREF _Toc494552456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"_Toc494552457" </w:instrText>
      </w:r>
      <w:r>
        <w:fldChar w:fldCharType="separate"/>
      </w:r>
      <w:r>
        <w:rPr>
          <w:rStyle w:val="94"/>
        </w:rPr>
        <w:t>1</w:t>
      </w:r>
      <w:r>
        <w:rPr>
          <w:rStyle w:val="94"/>
          <w:rFonts w:hint="eastAsia"/>
        </w:rPr>
        <w:t>　范围</w:t>
      </w:r>
      <w:r>
        <w:tab/>
      </w:r>
      <w:r>
        <w:fldChar w:fldCharType="begin" w:fldLock="1"/>
      </w:r>
      <w:r>
        <w:instrText xml:space="preserve"> PAGEREF _Toc494552457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"_Toc494552459" </w:instrText>
      </w:r>
      <w:r>
        <w:fldChar w:fldCharType="separate"/>
      </w:r>
      <w:r>
        <w:rPr>
          <w:rStyle w:val="94"/>
        </w:rPr>
        <w:t>2</w:t>
      </w:r>
      <w:r>
        <w:rPr>
          <w:rStyle w:val="94"/>
          <w:rFonts w:hint="eastAsia"/>
        </w:rPr>
        <w:t>　规范性引用文件</w:t>
      </w:r>
      <w:r>
        <w:tab/>
      </w:r>
      <w:r>
        <w:fldChar w:fldCharType="begin" w:fldLock="1"/>
      </w:r>
      <w:r>
        <w:instrText xml:space="preserve"> PAGEREF _Toc494552459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"_Toc494552460" </w:instrText>
      </w:r>
      <w:r>
        <w:fldChar w:fldCharType="separate"/>
      </w:r>
      <w:r>
        <w:rPr>
          <w:rStyle w:val="94"/>
        </w:rPr>
        <w:t>3</w:t>
      </w:r>
      <w:r>
        <w:rPr>
          <w:rStyle w:val="94"/>
          <w:rFonts w:hint="eastAsia"/>
        </w:rPr>
        <w:t>　术语和定义</w:t>
      </w:r>
      <w:r>
        <w:tab/>
      </w:r>
      <w:r>
        <w:fldChar w:fldCharType="begin" w:fldLock="1"/>
      </w:r>
      <w:r>
        <w:instrText xml:space="preserve"> PAGEREF _Toc494552460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"_Toc494552461" </w:instrText>
      </w:r>
      <w:r>
        <w:fldChar w:fldCharType="separate"/>
      </w:r>
      <w:r>
        <w:rPr>
          <w:rStyle w:val="94"/>
        </w:rPr>
        <w:t>4</w:t>
      </w:r>
      <w:r>
        <w:rPr>
          <w:rStyle w:val="94"/>
          <w:rFonts w:hint="eastAsia" w:hAnsi="黑体"/>
        </w:rPr>
        <w:t>　一般要求</w:t>
      </w:r>
      <w:r>
        <w:tab/>
      </w:r>
      <w:r>
        <w:fldChar w:fldCharType="begin" w:fldLock="1"/>
      </w:r>
      <w:r>
        <w:instrText xml:space="preserve"> PAGEREF _Toc494552461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"_Toc494552462" </w:instrText>
      </w:r>
      <w:r>
        <w:fldChar w:fldCharType="separate"/>
      </w:r>
      <w:r>
        <w:rPr>
          <w:rStyle w:val="94"/>
        </w:rPr>
        <w:t>5</w:t>
      </w:r>
      <w:r>
        <w:rPr>
          <w:rStyle w:val="94"/>
          <w:rFonts w:hint="eastAsia"/>
        </w:rPr>
        <w:t>　仓储安全管理活动</w:t>
      </w:r>
      <w:r>
        <w:tab/>
      </w:r>
      <w:r>
        <w:fldChar w:fldCharType="begin" w:fldLock="1"/>
      </w:r>
      <w:r>
        <w:instrText xml:space="preserve"> PAGEREF _Toc494552462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"_Toc494552463" </w:instrText>
      </w:r>
      <w:r>
        <w:fldChar w:fldCharType="separate"/>
      </w:r>
      <w:r>
        <w:rPr>
          <w:rStyle w:val="94"/>
        </w:rPr>
        <w:t>6</w:t>
      </w:r>
      <w:r>
        <w:rPr>
          <w:rStyle w:val="94"/>
          <w:rFonts w:hint="eastAsia"/>
        </w:rPr>
        <w:t>　仓储安全检查</w:t>
      </w:r>
      <w:r>
        <w:tab/>
      </w:r>
      <w:r>
        <w:fldChar w:fldCharType="begin" w:fldLock="1"/>
      </w:r>
      <w:r>
        <w:instrText xml:space="preserve"> PAGEREF _Toc494552463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"_Toc494552464" </w:instrText>
      </w:r>
      <w:r>
        <w:fldChar w:fldCharType="separate"/>
      </w:r>
      <w:r>
        <w:rPr>
          <w:rStyle w:val="94"/>
        </w:rPr>
        <w:t>7</w:t>
      </w:r>
      <w:r>
        <w:rPr>
          <w:rStyle w:val="94"/>
          <w:rFonts w:hint="eastAsia" w:hAnsi="黑体"/>
        </w:rPr>
        <w:t>　仓储安全绩效评价与改进</w:t>
      </w:r>
      <w:r>
        <w:tab/>
      </w:r>
      <w:r>
        <w:fldChar w:fldCharType="begin" w:fldLock="1"/>
      </w:r>
      <w:r>
        <w:instrText xml:space="preserve"> PAGEREF _Toc494552464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62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"_Toc494552465" </w:instrText>
      </w:r>
      <w:r>
        <w:fldChar w:fldCharType="separate"/>
      </w:r>
      <w:r>
        <w:rPr>
          <w:rStyle w:val="94"/>
          <w:rFonts w:hint="eastAsia"/>
        </w:rPr>
        <w:t>参考文献</w:t>
      </w:r>
      <w:r>
        <w:tab/>
      </w:r>
      <w:r>
        <w:fldChar w:fldCharType="begin" w:fldLock="1"/>
      </w:r>
      <w:r>
        <w:instrText xml:space="preserve"> PAGEREF _Toc494552465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67"/>
      </w:pPr>
      <w:r>
        <w:fldChar w:fldCharType="end"/>
      </w:r>
    </w:p>
    <w:p>
      <w:pPr>
        <w:pStyle w:val="169"/>
      </w:pPr>
      <w:bookmarkStart w:id="32" w:name="_Toc494552456"/>
      <w:r>
        <w:rPr>
          <w:rFonts w:hint="eastAsia"/>
        </w:rPr>
        <w:t>前</w:t>
      </w:r>
      <w:bookmarkStart w:id="33" w:name="BKQY"/>
      <w:r>
        <w:rPr>
          <w:rFonts w:hint="eastAsia" w:ascii="MS Mincho" w:hAnsi="MS Mincho" w:eastAsia="MS Mincho" w:cs="MS Mincho"/>
        </w:rPr>
        <w:t>  </w:t>
      </w:r>
      <w:r>
        <w:rPr>
          <w:rFonts w:hint="eastAsia"/>
        </w:rPr>
        <w:t>言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2"/>
      <w:bookmarkEnd w:id="33"/>
    </w:p>
    <w:p>
      <w:pPr>
        <w:widowControl/>
        <w:tabs>
          <w:tab w:val="left" w:pos="0"/>
        </w:tabs>
        <w:autoSpaceDE w:val="0"/>
        <w:autoSpaceDN w:val="0"/>
        <w:adjustRightInd w:val="0"/>
        <w:spacing w:line="360" w:lineRule="exac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 xml:space="preserve">    本标准按照GB/T 1.1—2009 《标准化工作导则 第1部分：标准的结构和编写》给出的规则起草。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360" w:lineRule="exact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 xml:space="preserve">    本标准由   提出。</w:t>
      </w:r>
    </w:p>
    <w:p>
      <w:pPr>
        <w:pStyle w:val="67"/>
        <w:tabs>
          <w:tab w:val="left" w:pos="0"/>
        </w:tabs>
        <w:spacing w:line="360" w:lineRule="exact"/>
        <w:ind w:firstLine="0" w:firstLineChars="0"/>
      </w:pPr>
      <w:r>
        <w:rPr>
          <w:rFonts w:hint="eastAsia"/>
        </w:rPr>
        <w:t xml:space="preserve">    本标准由</w:t>
      </w:r>
      <w:r>
        <w:rPr>
          <w:rFonts w:hint="eastAsia" w:hAnsi="宋体"/>
          <w:color w:val="000000"/>
          <w:szCs w:val="21"/>
        </w:rPr>
        <w:t>中华</w:t>
      </w:r>
      <w:r>
        <w:rPr>
          <w:rFonts w:hAnsi="宋体"/>
          <w:color w:val="000000"/>
          <w:szCs w:val="21"/>
        </w:rPr>
        <w:t>全国</w:t>
      </w:r>
      <w:r>
        <w:rPr>
          <w:rFonts w:hint="eastAsia" w:hAnsi="宋体"/>
          <w:color w:val="000000"/>
          <w:szCs w:val="21"/>
        </w:rPr>
        <w:t>供销合作总社农业生产资料局</w:t>
      </w:r>
      <w:r>
        <w:rPr>
          <w:rFonts w:hint="eastAsia"/>
        </w:rPr>
        <w:t>归口。</w:t>
      </w:r>
    </w:p>
    <w:p>
      <w:pPr>
        <w:pStyle w:val="67"/>
        <w:tabs>
          <w:tab w:val="left" w:pos="0"/>
        </w:tabs>
        <w:spacing w:line="360" w:lineRule="exact"/>
        <w:ind w:firstLine="0" w:firstLineChars="0"/>
      </w:pPr>
      <w:r>
        <w:rPr>
          <w:rFonts w:hint="eastAsia"/>
        </w:rPr>
        <w:t xml:space="preserve">    </w:t>
      </w:r>
      <w:r>
        <w:rPr>
          <w:rFonts w:hint="eastAsia" w:hAnsi="宋体" w:cs="宋体"/>
          <w:color w:val="000000"/>
        </w:rPr>
        <w:t>本标准起草单位：北京工商大学、惠多利农资有限公司、江苏苏农农资连锁集团股份有限公司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360" w:lineRule="exact"/>
        <w:rPr>
          <w:color w:val="000000"/>
        </w:rPr>
      </w:pPr>
      <w:r>
        <w:rPr>
          <w:rFonts w:hint="eastAsia" w:ascii="宋体" w:hAnsi="宋体" w:cs="宋体"/>
          <w:color w:val="000000"/>
          <w:kern w:val="0"/>
        </w:rPr>
        <w:t xml:space="preserve">    本标准主要起草人：</w:t>
      </w:r>
    </w:p>
    <w:p>
      <w:pPr>
        <w:widowControl/>
        <w:tabs>
          <w:tab w:val="left" w:pos="0"/>
        </w:tabs>
        <w:autoSpaceDE w:val="0"/>
        <w:autoSpaceDN w:val="0"/>
        <w:adjustRightInd w:val="0"/>
        <w:spacing w:line="360" w:lineRule="exact"/>
        <w:rPr>
          <w:rFonts w:ascii="宋体" w:hAnsi="宋体"/>
          <w:color w:val="FF0000"/>
          <w:szCs w:val="21"/>
        </w:rPr>
      </w:pPr>
    </w:p>
    <w:p>
      <w:pPr>
        <w:pStyle w:val="67"/>
      </w:pPr>
    </w:p>
    <w:p>
      <w:pPr>
        <w:pStyle w:val="107"/>
      </w:pPr>
      <w:r>
        <w:rPr>
          <w:rFonts w:hint="eastAsia"/>
        </w:rPr>
        <w:t>农资仓储安全管理指南</w:t>
      </w:r>
    </w:p>
    <w:p>
      <w:pPr>
        <w:pStyle w:val="102"/>
        <w:spacing w:before="312" w:after="312"/>
      </w:pPr>
      <w:bookmarkStart w:id="34" w:name="_Toc465523943"/>
      <w:bookmarkStart w:id="35" w:name="_Toc465605483"/>
      <w:bookmarkStart w:id="36" w:name="_Toc464041403"/>
      <w:bookmarkStart w:id="37" w:name="_Toc479517310"/>
      <w:bookmarkStart w:id="38" w:name="_Toc479517096"/>
      <w:bookmarkStart w:id="39" w:name="_Toc465605763"/>
      <w:bookmarkStart w:id="40" w:name="_Toc490925506"/>
      <w:bookmarkStart w:id="41" w:name="_Toc479517369"/>
      <w:bookmarkStart w:id="42" w:name="_Toc494552457"/>
      <w:bookmarkStart w:id="43" w:name="_Toc463784355"/>
      <w:bookmarkStart w:id="44" w:name="_Toc463791863"/>
      <w:bookmarkStart w:id="45" w:name="_Toc463783972"/>
      <w:bookmarkStart w:id="46" w:name="_Toc462598573"/>
      <w:r>
        <w:rPr>
          <w:rFonts w:hint="eastAsia"/>
        </w:rPr>
        <w:t>范围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102"/>
        <w:numPr>
          <w:ilvl w:val="0"/>
          <w:numId w:val="0"/>
        </w:numPr>
        <w:spacing w:beforeLines="0" w:afterLines="0"/>
        <w:ind w:firstLine="420" w:firstLineChars="200"/>
        <w:rPr>
          <w:rFonts w:ascii="宋体" w:hAnsi="宋体" w:eastAsia="宋体"/>
        </w:rPr>
      </w:pPr>
      <w:bookmarkStart w:id="47" w:name="_Toc479517097"/>
      <w:bookmarkStart w:id="48" w:name="_Toc465605764"/>
      <w:bookmarkStart w:id="49" w:name="_Toc463783973"/>
      <w:bookmarkStart w:id="50" w:name="_Toc479517311"/>
      <w:bookmarkStart w:id="51" w:name="_Toc479517370"/>
      <w:bookmarkStart w:id="52" w:name="_Toc465605484"/>
      <w:bookmarkStart w:id="53" w:name="_Toc490925507"/>
      <w:bookmarkStart w:id="54" w:name="_Toc494552458"/>
      <w:bookmarkStart w:id="55" w:name="_Toc463784356"/>
      <w:bookmarkStart w:id="56" w:name="_Toc463791864"/>
      <w:bookmarkStart w:id="57" w:name="_Toc464041404"/>
      <w:bookmarkStart w:id="58" w:name="_Toc465523944"/>
      <w:r>
        <w:rPr>
          <w:rFonts w:hint="eastAsia" w:ascii="宋体" w:hAnsi="宋体" w:eastAsia="宋体"/>
        </w:rPr>
        <w:t>本标准规定了</w:t>
      </w:r>
      <w:r>
        <w:rPr>
          <w:rFonts w:hint="eastAsia" w:ascii="宋体" w:hAnsi="宋体" w:eastAsia="宋体" w:cs="宋体"/>
        </w:rPr>
        <w:t>农资生产企业或农资流通企业仓储</w:t>
      </w:r>
      <w:r>
        <w:rPr>
          <w:rFonts w:hint="eastAsia" w:ascii="宋体" w:hAnsi="宋体" w:eastAsia="宋体"/>
        </w:rPr>
        <w:t>安全管理组织机构、仓储安全管理文件、各类仓储安全管理活动、仓储安全检查、仓储安全绩效评价与改进等方面的指南。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67"/>
        <w:rPr>
          <w:rFonts w:hAnsi="宋体"/>
        </w:rPr>
      </w:pPr>
      <w:r>
        <w:rPr>
          <w:rFonts w:hint="eastAsia" w:hAnsi="宋体"/>
        </w:rPr>
        <w:t>本标准</w:t>
      </w:r>
      <w:r>
        <w:rPr>
          <w:rFonts w:hint="eastAsia" w:hAnsi="宋体" w:cs="宋体"/>
        </w:rPr>
        <w:t>适用于农资企业开展的仓储安全管理活动。</w:t>
      </w:r>
      <w:r>
        <w:rPr>
          <w:rFonts w:hint="eastAsia" w:hAnsi="宋体"/>
        </w:rPr>
        <w:t>对于农资生产企业，只适用于成品仓库的安全管理活动。</w:t>
      </w:r>
    </w:p>
    <w:p>
      <w:pPr>
        <w:pStyle w:val="67"/>
        <w:rPr>
          <w:rFonts w:hAnsi="宋体"/>
        </w:rPr>
      </w:pPr>
      <w:r>
        <w:rPr>
          <w:rFonts w:hint="eastAsia" w:hAnsi="宋体"/>
        </w:rPr>
        <w:t>仓储型物流企业进行农资仓储安全管理活动时，可参照执行本标准。</w:t>
      </w:r>
    </w:p>
    <w:p>
      <w:pPr>
        <w:pStyle w:val="102"/>
        <w:spacing w:before="312" w:after="312"/>
      </w:pPr>
      <w:bookmarkStart w:id="59" w:name="_Toc479517313"/>
      <w:bookmarkStart w:id="60" w:name="_Toc479517099"/>
      <w:bookmarkStart w:id="61" w:name="_Toc463784359"/>
      <w:bookmarkStart w:id="62" w:name="_Toc462598574"/>
      <w:bookmarkStart w:id="63" w:name="_Toc463783976"/>
      <w:bookmarkStart w:id="64" w:name="_Toc479517372"/>
      <w:bookmarkStart w:id="65" w:name="_Toc490925509"/>
      <w:bookmarkStart w:id="66" w:name="_Toc464041407"/>
      <w:bookmarkStart w:id="67" w:name="_Toc494552459"/>
      <w:bookmarkStart w:id="68" w:name="_Toc463791867"/>
      <w:bookmarkStart w:id="69" w:name="_Toc465523947"/>
      <w:bookmarkStart w:id="70" w:name="_Toc465605487"/>
      <w:bookmarkStart w:id="71" w:name="_Toc465605767"/>
      <w:r>
        <w:rPr>
          <w:rFonts w:hint="eastAsia"/>
        </w:rPr>
        <w:t>规范性引用文件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6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67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GB/T 3608         高处作业分级</w:t>
      </w:r>
    </w:p>
    <w:p>
      <w:pPr>
        <w:autoSpaceDE w:val="0"/>
        <w:autoSpaceDN w:val="0"/>
        <w:adjustRightInd w:val="0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GB</w:t>
      </w:r>
      <w:r>
        <w:rPr>
          <w:rFonts w:hint="eastAsia"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8958</w:t>
      </w:r>
      <w:r>
        <w:rPr>
          <w:rFonts w:hint="eastAsia" w:ascii="宋体" w:hAnsi="宋体"/>
          <w:color w:val="000000"/>
        </w:rPr>
        <w:t xml:space="preserve">           缺氧危险作业安全规程</w:t>
      </w:r>
    </w:p>
    <w:p>
      <w:pPr>
        <w:autoSpaceDE w:val="0"/>
        <w:autoSpaceDN w:val="0"/>
        <w:adjustRightInd w:val="0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GB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>11651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个体防护装备选用规范</w:t>
      </w:r>
    </w:p>
    <w:p>
      <w:pPr>
        <w:autoSpaceDE w:val="0"/>
        <w:autoSpaceDN w:val="0"/>
        <w:adjustRightInd w:val="0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GB</w:t>
      </w:r>
      <w:r>
        <w:rPr>
          <w:rFonts w:hint="eastAsia" w:ascii="宋体" w:hAnsi="宋体" w:cs="宋体"/>
          <w:color w:val="000000"/>
          <w:kern w:val="0"/>
          <w:szCs w:val="21"/>
        </w:rPr>
        <w:t>/T</w:t>
      </w:r>
      <w:r>
        <w:rPr>
          <w:rFonts w:ascii="宋体" w:hAnsi="宋体" w:cs="宋体"/>
          <w:color w:val="000000"/>
          <w:kern w:val="0"/>
          <w:szCs w:val="21"/>
        </w:rPr>
        <w:t>13861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生产过程危险和有害因素分类与代码</w:t>
      </w:r>
    </w:p>
    <w:p>
      <w:pPr>
        <w:pStyle w:val="67"/>
        <w:rPr>
          <w:rFonts w:hAnsi="宋体"/>
          <w:color w:val="000000"/>
          <w:szCs w:val="21"/>
          <w:shd w:val="clear" w:color="auto" w:fill="FFFFFF"/>
        </w:rPr>
      </w:pPr>
      <w:r>
        <w:rPr>
          <w:rFonts w:hint="eastAsia" w:hAnsi="宋体"/>
          <w:color w:val="000000"/>
          <w:szCs w:val="21"/>
          <w:shd w:val="clear" w:color="auto" w:fill="FFFFFF"/>
        </w:rPr>
        <w:t>GB/T19000         质量管理体系  基础和术语</w:t>
      </w:r>
    </w:p>
    <w:p>
      <w:pPr>
        <w:pStyle w:val="67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GB 30871          化学品生产单位特殊作业安全规范</w:t>
      </w:r>
    </w:p>
    <w:p>
      <w:pPr>
        <w:pStyle w:val="67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GB 500</w:t>
      </w:r>
      <w:r>
        <w:rPr>
          <w:rFonts w:hint="eastAsia" w:hAnsi="宋体"/>
          <w:color w:val="000000"/>
        </w:rPr>
        <w:t xml:space="preserve">11          </w:t>
      </w:r>
      <w:r>
        <w:rPr>
          <w:rFonts w:hint="eastAsia" w:hAnsi="宋体"/>
          <w:color w:val="000000"/>
          <w:szCs w:val="21"/>
        </w:rPr>
        <w:t>建筑</w:t>
      </w:r>
      <w:r>
        <w:rPr>
          <w:rFonts w:hint="eastAsia" w:hAnsi="宋体"/>
          <w:color w:val="000000"/>
        </w:rPr>
        <w:t>抗震</w:t>
      </w:r>
      <w:r>
        <w:rPr>
          <w:rFonts w:hint="eastAsia" w:hAnsi="宋体"/>
          <w:color w:val="000000"/>
          <w:szCs w:val="21"/>
        </w:rPr>
        <w:t>设计规范</w:t>
      </w:r>
    </w:p>
    <w:p>
      <w:pPr>
        <w:pStyle w:val="67"/>
        <w:rPr>
          <w:rFonts w:hAnsi="宋体"/>
          <w:color w:val="000000"/>
          <w:szCs w:val="21"/>
        </w:rPr>
      </w:pPr>
      <w:r>
        <w:rPr>
          <w:rFonts w:hint="eastAsia" w:hAnsi="宋体" w:cs="宋体"/>
        </w:rPr>
        <w:t xml:space="preserve">GB 50016          </w:t>
      </w:r>
      <w:r>
        <w:rPr>
          <w:rFonts w:hint="eastAsia" w:hAnsi="宋体"/>
          <w:color w:val="000000"/>
          <w:szCs w:val="21"/>
        </w:rPr>
        <w:t>建筑</w:t>
      </w:r>
      <w:r>
        <w:rPr>
          <w:rFonts w:hint="eastAsia" w:hAnsi="宋体"/>
          <w:color w:val="000000"/>
        </w:rPr>
        <w:t>设计防火</w:t>
      </w:r>
      <w:r>
        <w:rPr>
          <w:rFonts w:hint="eastAsia" w:hAnsi="宋体"/>
          <w:color w:val="000000"/>
          <w:szCs w:val="21"/>
        </w:rPr>
        <w:t>规范</w:t>
      </w:r>
    </w:p>
    <w:p>
      <w:pPr>
        <w:pStyle w:val="67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GB 500</w:t>
      </w:r>
      <w:r>
        <w:rPr>
          <w:rFonts w:hint="eastAsia" w:hAnsi="宋体"/>
          <w:color w:val="000000"/>
        </w:rPr>
        <w:t xml:space="preserve">34         </w:t>
      </w:r>
      <w:r>
        <w:rPr>
          <w:rFonts w:hint="eastAsia" w:hAnsi="宋体"/>
          <w:color w:val="000000"/>
          <w:szCs w:val="21"/>
        </w:rPr>
        <w:t xml:space="preserve"> 建筑</w:t>
      </w:r>
      <w:r>
        <w:rPr>
          <w:rFonts w:hint="eastAsia" w:hAnsi="宋体"/>
          <w:color w:val="000000"/>
        </w:rPr>
        <w:t>照明设计</w:t>
      </w:r>
      <w:r>
        <w:rPr>
          <w:rFonts w:hint="eastAsia" w:hAnsi="宋体"/>
          <w:color w:val="000000"/>
          <w:szCs w:val="21"/>
        </w:rPr>
        <w:t>规范</w:t>
      </w:r>
    </w:p>
    <w:p>
      <w:pPr>
        <w:pStyle w:val="67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GB 50057          建筑物防雷设计规范</w:t>
      </w:r>
    </w:p>
    <w:p>
      <w:pPr>
        <w:pStyle w:val="67"/>
        <w:rPr>
          <w:rFonts w:hAnsi="宋体" w:cs="宋体"/>
        </w:rPr>
      </w:pPr>
      <w:r>
        <w:rPr>
          <w:rFonts w:hint="eastAsia" w:hAnsi="宋体" w:cs="宋体"/>
        </w:rPr>
        <w:t xml:space="preserve">GB 52201           </w:t>
      </w:r>
      <w:r>
        <w:rPr>
          <w:rFonts w:hint="eastAsia" w:hAnsi="宋体"/>
          <w:color w:val="000000"/>
          <w:szCs w:val="21"/>
        </w:rPr>
        <w:t>建筑消防设施的维护管理</w:t>
      </w:r>
    </w:p>
    <w:p>
      <w:pPr>
        <w:pStyle w:val="67"/>
        <w:rPr>
          <w:rFonts w:hAnsi="宋体"/>
          <w:color w:val="000000"/>
          <w:szCs w:val="21"/>
          <w:shd w:val="clear" w:color="auto" w:fill="FFFFFF"/>
        </w:rPr>
      </w:pPr>
      <w:r>
        <w:rPr>
          <w:rFonts w:hAnsi="宋体" w:cs="宋体"/>
          <w:color w:val="000000"/>
          <w:szCs w:val="21"/>
        </w:rPr>
        <w:t>GBZl</w:t>
      </w:r>
      <w:r>
        <w:rPr>
          <w:rFonts w:hint="eastAsia" w:hAnsi="宋体" w:cs="宋体"/>
          <w:color w:val="000000"/>
          <w:szCs w:val="21"/>
        </w:rPr>
        <w:t xml:space="preserve">              工业企业设计卫生标准</w:t>
      </w:r>
    </w:p>
    <w:p>
      <w:pPr>
        <w:pStyle w:val="67"/>
        <w:rPr>
          <w:rStyle w:val="237"/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 xml:space="preserve">AQ 3022           </w:t>
      </w:r>
      <w:r>
        <w:rPr>
          <w:rStyle w:val="237"/>
          <w:rFonts w:hint="eastAsia" w:hAnsi="宋体"/>
          <w:color w:val="000000"/>
          <w:szCs w:val="21"/>
        </w:rPr>
        <w:t>化学品生产单位动火作业安全规范</w:t>
      </w:r>
    </w:p>
    <w:p>
      <w:pPr>
        <w:pStyle w:val="67"/>
        <w:rPr>
          <w:rFonts w:hAnsi="宋体"/>
          <w:color w:val="000000"/>
          <w:szCs w:val="21"/>
          <w:shd w:val="clear" w:color="auto" w:fill="FFFFFF"/>
        </w:rPr>
      </w:pPr>
      <w:r>
        <w:rPr>
          <w:rFonts w:hint="eastAsia" w:hAnsi="宋体"/>
          <w:color w:val="000000"/>
          <w:szCs w:val="21"/>
          <w:shd w:val="clear" w:color="auto" w:fill="FFFFFF"/>
        </w:rPr>
        <w:t>GH/T1061          农业生产资料连锁经营网络规范</w:t>
      </w:r>
    </w:p>
    <w:p>
      <w:pPr>
        <w:pStyle w:val="67"/>
        <w:rPr>
          <w:rFonts w:hAnsi="宋体"/>
          <w:color w:val="C00000"/>
        </w:rPr>
      </w:pPr>
      <w:r>
        <w:rPr>
          <w:rFonts w:hint="eastAsia" w:hAnsi="宋体" w:cs="宋体"/>
          <w:color w:val="C00000"/>
        </w:rPr>
        <w:t xml:space="preserve">GH/TXXXX     </w:t>
      </w:r>
      <w:r>
        <w:rPr>
          <w:rFonts w:hint="eastAsia" w:hAnsi="宋体"/>
          <w:color w:val="C00000"/>
        </w:rPr>
        <w:t xml:space="preserve">     农资物流标识规范</w:t>
      </w:r>
    </w:p>
    <w:p>
      <w:pPr>
        <w:pStyle w:val="67"/>
        <w:rPr>
          <w:rStyle w:val="237"/>
          <w:rFonts w:hAnsi="宋体"/>
          <w:color w:val="FF0000"/>
          <w:szCs w:val="21"/>
        </w:rPr>
      </w:pPr>
      <w:r>
        <w:rPr>
          <w:rFonts w:hint="eastAsia" w:hAnsi="宋体" w:cs="宋体"/>
          <w:color w:val="C00000"/>
        </w:rPr>
        <w:t xml:space="preserve">GH/TXXXX          </w:t>
      </w:r>
      <w:r>
        <w:rPr>
          <w:rFonts w:hint="eastAsia" w:hAnsi="宋体"/>
          <w:color w:val="C00000"/>
        </w:rPr>
        <w:t>农资企业应急预案编制和实施指南</w:t>
      </w:r>
    </w:p>
    <w:p>
      <w:pPr>
        <w:pStyle w:val="102"/>
        <w:spacing w:before="312" w:after="312"/>
      </w:pPr>
      <w:bookmarkStart w:id="72" w:name="_Toc464041408"/>
      <w:bookmarkStart w:id="73" w:name="_Toc479517314"/>
      <w:bookmarkStart w:id="74" w:name="_Toc479517373"/>
      <w:bookmarkStart w:id="75" w:name="_Toc490925510"/>
      <w:bookmarkStart w:id="76" w:name="_Toc494552460"/>
      <w:bookmarkStart w:id="77" w:name="_Toc463791868"/>
      <w:bookmarkStart w:id="78" w:name="_Toc463783977"/>
      <w:bookmarkStart w:id="79" w:name="_Toc463784360"/>
      <w:r>
        <w:rPr>
          <w:rFonts w:hint="eastAsia"/>
        </w:rPr>
        <w:t>术语和定义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   </w:t>
      </w:r>
      <w:bookmarkStart w:id="80" w:name="_Toc462598575"/>
      <w:bookmarkEnd w:id="80"/>
      <w:bookmarkStart w:id="81" w:name="_Toc463783978"/>
      <w:bookmarkStart w:id="82" w:name="_Toc463784361"/>
      <w:bookmarkStart w:id="83" w:name="_Toc463791869"/>
      <w:bookmarkStart w:id="84" w:name="_Toc464041409"/>
      <w:bookmarkStart w:id="85" w:name="_Toc465523949"/>
      <w:bookmarkStart w:id="86" w:name="_Toc465605489"/>
      <w:bookmarkStart w:id="87" w:name="_Toc465605769"/>
      <w:r>
        <w:rPr>
          <w:rFonts w:hint="eastAsia" w:ascii="宋体" w:hAnsi="宋体"/>
        </w:rPr>
        <w:t>下列术语和定义适用于本文件。</w:t>
      </w:r>
      <w:bookmarkEnd w:id="81"/>
      <w:bookmarkEnd w:id="82"/>
      <w:bookmarkEnd w:id="83"/>
      <w:bookmarkEnd w:id="84"/>
      <w:bookmarkEnd w:id="85"/>
      <w:bookmarkEnd w:id="86"/>
      <w:bookmarkEnd w:id="87"/>
    </w:p>
    <w:p>
      <w:pPr>
        <w:pStyle w:val="99"/>
        <w:spacing w:before="156" w:after="156"/>
      </w:pPr>
      <w:bookmarkStart w:id="88" w:name="_Toc463791870"/>
      <w:bookmarkEnd w:id="88"/>
      <w:bookmarkStart w:id="89" w:name="_Toc463783979"/>
      <w:bookmarkEnd w:id="89"/>
      <w:bookmarkStart w:id="90" w:name="_Toc463784362"/>
      <w:bookmarkEnd w:id="90"/>
      <w:bookmarkStart w:id="91" w:name="_Toc464041410"/>
      <w:bookmarkEnd w:id="91"/>
      <w:bookmarkStart w:id="92" w:name="_Toc465523950"/>
      <w:bookmarkEnd w:id="92"/>
      <w:bookmarkStart w:id="93" w:name="_Toc465605490"/>
      <w:bookmarkEnd w:id="93"/>
      <w:bookmarkStart w:id="94" w:name="_Toc465605770"/>
      <w:bookmarkEnd w:id="94"/>
    </w:p>
    <w:p>
      <w:pPr>
        <w:tabs>
          <w:tab w:val="left" w:pos="426"/>
        </w:tabs>
        <w:autoSpaceDE w:val="0"/>
        <w:autoSpaceDN w:val="0"/>
        <w:adjustRightInd w:val="0"/>
        <w:ind w:firstLine="420" w:firstLineChars="200"/>
        <w:jc w:val="left"/>
        <w:rPr>
          <w:rFonts w:hAnsi="宋体"/>
          <w:color w:val="0D0D0D"/>
          <w:szCs w:val="21"/>
        </w:rPr>
      </w:pPr>
      <w:r>
        <w:rPr>
          <w:rFonts w:hint="eastAsia" w:ascii="黑体" w:hAnsi="黑体" w:eastAsia="黑体"/>
          <w:szCs w:val="21"/>
        </w:rPr>
        <w:t>农业生产资料</w:t>
      </w:r>
      <w:r>
        <w:rPr>
          <w:rFonts w:hint="eastAsia" w:hAnsi="宋体"/>
          <w:color w:val="0D0D0D"/>
          <w:szCs w:val="21"/>
        </w:rPr>
        <w:t xml:space="preserve"> a</w:t>
      </w:r>
      <w:r>
        <w:rPr>
          <w:rFonts w:hAnsi="宋体"/>
          <w:color w:val="0D0D0D"/>
          <w:szCs w:val="21"/>
        </w:rPr>
        <w:t>gricultural</w:t>
      </w:r>
      <w:r>
        <w:rPr>
          <w:rFonts w:hint="eastAsia" w:hAnsi="宋体"/>
          <w:color w:val="0D0D0D"/>
          <w:szCs w:val="21"/>
        </w:rPr>
        <w:t xml:space="preserve"> means of </w:t>
      </w:r>
      <w:r>
        <w:rPr>
          <w:rFonts w:hAnsi="宋体"/>
          <w:color w:val="0D0D0D"/>
          <w:szCs w:val="21"/>
        </w:rPr>
        <w:t>production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农业生产所需投入的物质资料</w:t>
      </w:r>
      <w:r>
        <w:rPr>
          <w:rFonts w:ascii="宋体" w:hAnsi="宋体" w:cs="黑体"/>
          <w:color w:val="000000"/>
          <w:kern w:val="0"/>
          <w:szCs w:val="21"/>
        </w:rPr>
        <w:t>,</w:t>
      </w:r>
      <w:r>
        <w:rPr>
          <w:rFonts w:hint="eastAsia" w:ascii="宋体" w:hAnsi="宋体" w:cs="黑体"/>
          <w:color w:val="000000"/>
          <w:kern w:val="0"/>
          <w:szCs w:val="21"/>
        </w:rPr>
        <w:t>以下简称为农资。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注：农资通常包括肥料</w:t>
      </w:r>
      <w:r>
        <w:rPr>
          <w:rFonts w:ascii="宋体" w:hAnsi="宋体" w:cs="黑体"/>
          <w:color w:val="000000"/>
          <w:kern w:val="0"/>
          <w:szCs w:val="21"/>
        </w:rPr>
        <w:t>(</w:t>
      </w:r>
      <w:r>
        <w:rPr>
          <w:rFonts w:hint="eastAsia" w:ascii="宋体" w:hAnsi="宋体" w:cs="黑体"/>
          <w:color w:val="000000"/>
          <w:kern w:val="0"/>
          <w:szCs w:val="21"/>
        </w:rPr>
        <w:t>化肥、有机肥</w:t>
      </w:r>
      <w:r>
        <w:rPr>
          <w:rFonts w:ascii="宋体" w:hAnsi="宋体" w:cs="黑体"/>
          <w:color w:val="000000"/>
          <w:kern w:val="0"/>
          <w:szCs w:val="21"/>
        </w:rPr>
        <w:t>)</w:t>
      </w:r>
      <w:r>
        <w:rPr>
          <w:rFonts w:hint="eastAsia" w:ascii="宋体" w:hAnsi="宋体" w:cs="黑体"/>
          <w:color w:val="000000"/>
          <w:kern w:val="0"/>
          <w:szCs w:val="21"/>
        </w:rPr>
        <w:t>、农药、农膜、种子、饲料、兽药、农机具及配件等大类。</w:t>
      </w:r>
    </w:p>
    <w:p>
      <w:pPr>
        <w:pStyle w:val="67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 w:hAnsi="宋体"/>
          <w:color w:val="000000"/>
          <w:szCs w:val="21"/>
          <w:shd w:val="clear" w:color="auto" w:fill="FFFFFF"/>
        </w:rPr>
        <w:t>GH/T1061-2010,定义3.1</w:t>
      </w:r>
      <w:r>
        <w:rPr>
          <w:rFonts w:hint="eastAsia"/>
          <w:szCs w:val="21"/>
        </w:rPr>
        <w:t>]</w:t>
      </w:r>
    </w:p>
    <w:p>
      <w:pPr>
        <w:pStyle w:val="99"/>
        <w:spacing w:beforeLines="0" w:afterLines="0"/>
        <w:ind w:left="283" w:leftChars="135"/>
      </w:pPr>
    </w:p>
    <w:p>
      <w:pPr>
        <w:pStyle w:val="67"/>
        <w:ind w:firstLine="735" w:firstLineChars="3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特殊作业 special work</w:t>
      </w:r>
    </w:p>
    <w:p>
      <w:pPr>
        <w:pStyle w:val="67"/>
        <w:ind w:left="283" w:leftChars="135" w:firstLine="424" w:firstLineChars="202"/>
        <w:rPr>
          <w:rFonts w:hAnsi="宋体"/>
          <w:szCs w:val="21"/>
        </w:rPr>
      </w:pPr>
      <w:r>
        <w:rPr>
          <w:rFonts w:hint="eastAsia" w:hAnsi="宋体"/>
          <w:szCs w:val="21"/>
        </w:rPr>
        <w:t>化学品生产单位设备检修过程中可能涉及的动火、进入受限空间、盲板抽堵、高处作业、吊装、临时用电、动土、断路等，对操作者本人、他人及周围建（构）筑物、设备、设施的安全可能造成危害的作业。</w:t>
      </w:r>
    </w:p>
    <w:p>
      <w:pPr>
        <w:pStyle w:val="67"/>
        <w:ind w:left="708" w:leftChars="337" w:firstLine="0" w:firstLineChars="0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 w:hAnsi="宋体"/>
          <w:color w:val="000000"/>
          <w:szCs w:val="21"/>
          <w:shd w:val="clear" w:color="auto" w:fill="FFFFFF"/>
        </w:rPr>
        <w:t>GB30871-2014,定义3.1</w:t>
      </w:r>
      <w:r>
        <w:rPr>
          <w:rFonts w:hint="eastAsia"/>
          <w:szCs w:val="21"/>
        </w:rPr>
        <w:t>]</w:t>
      </w:r>
    </w:p>
    <w:p>
      <w:pPr>
        <w:pStyle w:val="99"/>
        <w:spacing w:before="156" w:after="156"/>
        <w:ind w:left="423" w:leftChars="133" w:hanging="144"/>
      </w:pPr>
    </w:p>
    <w:p>
      <w:pPr>
        <w:tabs>
          <w:tab w:val="left" w:pos="426"/>
        </w:tabs>
        <w:autoSpaceDE w:val="0"/>
        <w:autoSpaceDN w:val="0"/>
        <w:adjustRightInd w:val="0"/>
        <w:ind w:left="708" w:leftChars="337"/>
        <w:jc w:val="left"/>
        <w:rPr>
          <w:rFonts w:hAnsi="宋体"/>
          <w:color w:val="0D0D0D"/>
          <w:szCs w:val="21"/>
        </w:rPr>
      </w:pPr>
      <w:r>
        <w:rPr>
          <w:rFonts w:hint="eastAsia" w:ascii="黑体" w:hAnsi="黑体" w:eastAsia="黑体"/>
          <w:szCs w:val="21"/>
        </w:rPr>
        <w:t>基础设施</w:t>
      </w:r>
      <w:r>
        <w:rPr>
          <w:rFonts w:hint="eastAsia" w:hAnsi="宋体"/>
          <w:color w:val="0D0D0D"/>
          <w:szCs w:val="21"/>
        </w:rPr>
        <w:t xml:space="preserve"> infrastructure</w:t>
      </w:r>
    </w:p>
    <w:p>
      <w:pPr>
        <w:autoSpaceDE w:val="0"/>
        <w:autoSpaceDN w:val="0"/>
        <w:adjustRightInd w:val="0"/>
        <w:ind w:left="708" w:leftChars="337"/>
        <w:jc w:val="lef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组织（3.2.1）运行所必需的设施、设备和服务（3.7.7）的系统（3.5.1）。</w:t>
      </w:r>
    </w:p>
    <w:p>
      <w:pPr>
        <w:pStyle w:val="67"/>
        <w:ind w:left="706" w:leftChars="336" w:firstLine="0" w:firstLineChars="0"/>
        <w:rPr>
          <w:szCs w:val="21"/>
        </w:rPr>
      </w:pPr>
      <w:r>
        <w:rPr>
          <w:rFonts w:hint="eastAsia"/>
          <w:szCs w:val="21"/>
        </w:rPr>
        <w:t>[</w:t>
      </w:r>
      <w:r>
        <w:rPr>
          <w:rFonts w:hint="eastAsia" w:hAnsi="宋体"/>
          <w:color w:val="000000"/>
          <w:szCs w:val="21"/>
          <w:shd w:val="clear" w:color="auto" w:fill="FFFFFF"/>
        </w:rPr>
        <w:t>GB/T19000-2016,定义3.5.2</w:t>
      </w:r>
      <w:r>
        <w:rPr>
          <w:rFonts w:hint="eastAsia"/>
          <w:szCs w:val="21"/>
        </w:rPr>
        <w:t>]</w:t>
      </w:r>
    </w:p>
    <w:p>
      <w:pPr>
        <w:pStyle w:val="102"/>
        <w:spacing w:beforeLines="0" w:afterLines="0"/>
        <w:ind w:firstLine="283" w:firstLineChars="135"/>
        <w:outlineLvl w:val="9"/>
        <w:rPr>
          <w:rFonts w:hAnsi="黑体"/>
          <w:color w:val="000000"/>
          <w:szCs w:val="21"/>
        </w:rPr>
      </w:pPr>
      <w:bookmarkStart w:id="95" w:name="_Toc494552461"/>
      <w:bookmarkStart w:id="96" w:name="_Toc463783981"/>
      <w:bookmarkStart w:id="97" w:name="_Toc463784364"/>
      <w:bookmarkStart w:id="98" w:name="_Toc463791872"/>
      <w:bookmarkStart w:id="99" w:name="_Toc464041412"/>
      <w:bookmarkStart w:id="100" w:name="_Toc465523952"/>
      <w:bookmarkStart w:id="101" w:name="_Toc465605492"/>
      <w:bookmarkStart w:id="102" w:name="_Toc465605772"/>
      <w:bookmarkStart w:id="103" w:name="_Toc479517100"/>
      <w:bookmarkStart w:id="104" w:name="_Toc479517315"/>
      <w:bookmarkStart w:id="105" w:name="_Toc479517374"/>
      <w:bookmarkStart w:id="106" w:name="_Toc490925511"/>
      <w:r>
        <w:rPr>
          <w:rFonts w:hint="eastAsia" w:hAnsi="黑体"/>
          <w:color w:val="000000"/>
          <w:szCs w:val="21"/>
        </w:rPr>
        <w:t>一般要求</w:t>
      </w:r>
      <w:bookmarkEnd w:id="95"/>
    </w:p>
    <w:p>
      <w:pPr>
        <w:pStyle w:val="99"/>
        <w:spacing w:beforeLines="0" w:afterLines="0"/>
        <w:ind w:firstLine="283" w:firstLineChars="135"/>
      </w:pPr>
      <w:r>
        <w:rPr>
          <w:rFonts w:hint="eastAsia"/>
        </w:rPr>
        <w:t>仓储安全管理组织机构</w:t>
      </w:r>
    </w:p>
    <w:p>
      <w:pPr>
        <w:pStyle w:val="103"/>
        <w:spacing w:beforeLines="0" w:afterLines="0"/>
        <w:ind w:left="283" w:leftChars="13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仓储部门的主管人员应是农资企业安全管理委员会的成员。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农资企业安全管理部门应有负责仓储安全管理的人员。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仓储部门应设置安全管理人员的岗位，并由具有安全管理工作经历的人员担任。</w:t>
      </w:r>
    </w:p>
    <w:p>
      <w:pPr>
        <w:pStyle w:val="99"/>
        <w:spacing w:beforeLines="0" w:afterLines="0"/>
        <w:ind w:left="281" w:leftChars="134"/>
      </w:pPr>
      <w:r>
        <w:rPr>
          <w:rFonts w:hint="eastAsia"/>
        </w:rPr>
        <w:t>仓储安全管理文件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仓储安全管理文件，宜包括但不限于仓储安全</w:t>
      </w:r>
      <w:r>
        <w:rPr>
          <w:rFonts w:hint="eastAsia" w:ascii="宋体" w:hAnsi="宋体" w:eastAsia="宋体"/>
        </w:rPr>
        <w:t>管理职责、安全操作规程、与仓储安全相关的工作流程与工作标准、与仓储安全相关的责任书或承诺书等。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仓储安全管理文件</w:t>
      </w:r>
      <w:r>
        <w:rPr>
          <w:rFonts w:hint="eastAsia" w:ascii="宋体" w:hAnsi="宋体" w:eastAsia="宋体"/>
        </w:rPr>
        <w:t>内容应符合国家法律法规和行业的相关要求。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仓储</w:t>
      </w:r>
      <w:r>
        <w:rPr>
          <w:rFonts w:hint="eastAsia" w:ascii="宋体" w:hAnsi="宋体" w:eastAsia="宋体"/>
        </w:rPr>
        <w:t>部门应按本企业文件和记录管理制度的要求，对仓储安全管理类文件的编制、审核、批准、编号、发布与发放、修改和作废等环节进行管理。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仓储部门的应急预案宜以纸质文本发布。</w:t>
      </w:r>
    </w:p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p>
      <w:pPr>
        <w:pStyle w:val="102"/>
        <w:spacing w:beforeLines="0" w:afterLines="0"/>
        <w:ind w:firstLine="283" w:firstLineChars="135"/>
      </w:pPr>
      <w:bookmarkStart w:id="107" w:name="_Toc465523970"/>
      <w:bookmarkStart w:id="108" w:name="_Toc465605502"/>
      <w:bookmarkStart w:id="109" w:name="_Toc465605782"/>
      <w:bookmarkStart w:id="110" w:name="_Toc479517102"/>
      <w:bookmarkStart w:id="111" w:name="_Toc479517317"/>
      <w:bookmarkStart w:id="112" w:name="_Toc479517376"/>
      <w:bookmarkStart w:id="113" w:name="_Toc490925513"/>
      <w:bookmarkStart w:id="114" w:name="_Toc494552462"/>
      <w:r>
        <w:rPr>
          <w:rFonts w:hint="eastAsia"/>
        </w:rPr>
        <w:t>仓储安全管理活动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>
      <w:pPr>
        <w:pStyle w:val="99"/>
        <w:spacing w:beforeLines="0" w:afterLines="0"/>
        <w:ind w:left="283" w:leftChars="135"/>
        <w:rPr>
          <w:rFonts w:hAnsi="黑体"/>
          <w:color w:val="000000"/>
        </w:rPr>
      </w:pPr>
      <w:bookmarkStart w:id="115" w:name="_Toc463783987"/>
      <w:bookmarkStart w:id="116" w:name="_Toc463784369"/>
      <w:bookmarkStart w:id="117" w:name="_Toc463791877"/>
      <w:bookmarkStart w:id="118" w:name="_Toc464041420"/>
      <w:bookmarkStart w:id="119" w:name="_Toc465523971"/>
      <w:bookmarkStart w:id="120" w:name="_Toc465605503"/>
      <w:bookmarkStart w:id="121" w:name="_Toc465605783"/>
      <w:r>
        <w:rPr>
          <w:rFonts w:hint="eastAsia" w:hAnsi="黑体" w:cs="宋体"/>
          <w:color w:val="000000"/>
        </w:rPr>
        <w:t>仓储危险源</w:t>
      </w:r>
      <w:bookmarkEnd w:id="115"/>
      <w:bookmarkEnd w:id="116"/>
      <w:bookmarkEnd w:id="117"/>
      <w:bookmarkEnd w:id="118"/>
      <w:bookmarkEnd w:id="119"/>
      <w:bookmarkEnd w:id="120"/>
      <w:bookmarkEnd w:id="121"/>
      <w:r>
        <w:rPr>
          <w:rFonts w:hint="eastAsia" w:hAnsi="黑体" w:cs="宋体"/>
          <w:color w:val="000000"/>
        </w:rPr>
        <w:t>管理</w:t>
      </w:r>
    </w:p>
    <w:p>
      <w:pPr>
        <w:pStyle w:val="103"/>
        <w:spacing w:beforeLines="0" w:afterLines="0"/>
        <w:ind w:left="283" w:leftChars="135"/>
        <w:rPr>
          <w:rFonts w:ascii="宋体" w:hAnsi="宋体" w:cs="宋体"/>
        </w:rPr>
      </w:pPr>
      <w:r>
        <w:rPr>
          <w:rFonts w:hint="eastAsia" w:hAnsi="黑体" w:cs="宋体"/>
        </w:rPr>
        <w:t>建立仓储</w:t>
      </w:r>
      <w:r>
        <w:rPr>
          <w:rFonts w:hint="eastAsia" w:ascii="宋体" w:hAnsi="宋体" w:cs="宋体"/>
        </w:rPr>
        <w:t>危险源管理制度</w:t>
      </w:r>
    </w:p>
    <w:p>
      <w:pPr>
        <w:pStyle w:val="108"/>
        <w:spacing w:beforeLines="0" w:afterLines="0"/>
        <w:ind w:left="283" w:leftChars="135"/>
      </w:pPr>
      <w:r>
        <w:rPr>
          <w:rFonts w:hint="eastAsia" w:ascii="宋体" w:hAnsi="宋体" w:eastAsia="宋体" w:cs="宋体"/>
        </w:rPr>
        <w:t>仓储部门应参与制定仓储危险源管理制度。</w:t>
      </w:r>
    </w:p>
    <w:p>
      <w:pPr>
        <w:pStyle w:val="108"/>
        <w:spacing w:beforeLines="0" w:afterLines="0"/>
        <w:ind w:left="283" w:leftChars="135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仓储部门应</w:t>
      </w:r>
      <w:r>
        <w:rPr>
          <w:rFonts w:hint="eastAsia" w:ascii="宋体" w:hAnsi="宋体" w:eastAsia="宋体" w:cs="宋体"/>
        </w:rPr>
        <w:t>建立本部门危险源清单。</w:t>
      </w:r>
    </w:p>
    <w:p>
      <w:pPr>
        <w:pStyle w:val="103"/>
        <w:spacing w:beforeLines="0" w:afterLines="0"/>
        <w:ind w:left="281" w:leftChars="134"/>
        <w:rPr>
          <w:rFonts w:hAnsi="黑体" w:cs="宋体"/>
        </w:rPr>
      </w:pPr>
      <w:r>
        <w:rPr>
          <w:rFonts w:hint="eastAsia" w:hAnsi="黑体" w:cs="宋体"/>
        </w:rPr>
        <w:t>危险源辨识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仓储部门应针对仓储的所有场所和活动，包括相关方活动，进行仓储危险源辨识，并保存资料。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如果仓储部门是由外来务工人员为主组成的部门，应视同本企业的部门，开展危险源辨识。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仓储危险源描述，应包括可能引发事故或伤害的人的不安全行为、物的不安全状态、作业环境的不良因素、管理缺陷等；应包括恐怖活动、偷窃、抢劫等情况。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</w:t>
      </w:r>
      <w:r>
        <w:rPr>
          <w:rFonts w:hint="eastAsia" w:ascii="宋体" w:hAnsi="宋体" w:eastAsia="宋体" w:cs="宋体"/>
          <w:color w:val="0D0D0D"/>
        </w:rPr>
        <w:t>应按照</w:t>
      </w:r>
      <w:r>
        <w:rPr>
          <w:rFonts w:ascii="宋体" w:hAnsi="宋体" w:eastAsia="宋体" w:cs="宋体"/>
          <w:color w:val="0D0D0D"/>
        </w:rPr>
        <w:t>GB</w:t>
      </w:r>
      <w:r>
        <w:rPr>
          <w:rFonts w:hint="eastAsia" w:ascii="宋体" w:hAnsi="宋体" w:eastAsia="宋体" w:cs="宋体"/>
          <w:color w:val="0D0D0D"/>
        </w:rPr>
        <w:t>／</w:t>
      </w:r>
      <w:r>
        <w:rPr>
          <w:rFonts w:ascii="宋体" w:hAnsi="宋体" w:eastAsia="宋体" w:cs="宋体"/>
          <w:color w:val="0D0D0D"/>
        </w:rPr>
        <w:t>T 13861</w:t>
      </w:r>
      <w:r>
        <w:rPr>
          <w:rFonts w:hint="eastAsia" w:ascii="宋体" w:hAnsi="宋体" w:eastAsia="宋体" w:cs="宋体"/>
          <w:color w:val="0D0D0D"/>
        </w:rPr>
        <w:t>标准和</w:t>
      </w:r>
      <w:r>
        <w:rPr>
          <w:rFonts w:ascii="宋体" w:hAnsi="宋体" w:eastAsia="宋体" w:cs="宋体"/>
          <w:color w:val="0D0D0D"/>
        </w:rPr>
        <w:t>GB 6441</w:t>
      </w:r>
      <w:r>
        <w:rPr>
          <w:rFonts w:hint="eastAsia" w:ascii="宋体" w:hAnsi="宋体" w:eastAsia="宋体" w:cs="宋体"/>
          <w:color w:val="0D0D0D"/>
        </w:rPr>
        <w:t>标准相关规定，描述仓储危险源。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仓储部门应在规定的时间或规定的情况下，进行危险源的重新评审和更新，并保存证据。</w:t>
      </w:r>
    </w:p>
    <w:p>
      <w:pPr>
        <w:pStyle w:val="103"/>
        <w:spacing w:beforeLines="0" w:afterLines="0"/>
        <w:ind w:left="281" w:leftChars="134"/>
        <w:rPr>
          <w:rFonts w:ascii="宋体" w:hAnsi="宋体" w:cs="宋体"/>
        </w:rPr>
      </w:pPr>
      <w:r>
        <w:rPr>
          <w:rFonts w:hint="eastAsia" w:ascii="宋体" w:hAnsi="宋体" w:cs="宋体"/>
        </w:rPr>
        <w:t>风险评价</w:t>
      </w:r>
    </w:p>
    <w:p>
      <w:pPr>
        <w:pStyle w:val="108"/>
        <w:numPr>
          <w:ilvl w:val="3"/>
          <w:numId w:val="28"/>
        </w:numPr>
        <w:spacing w:beforeLines="0" w:afterLines="0"/>
        <w:ind w:left="283" w:leftChars="13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仓储部门应针对已辨识的危险源，进行风险评价。</w:t>
      </w:r>
    </w:p>
    <w:p>
      <w:pPr>
        <w:pStyle w:val="108"/>
        <w:numPr>
          <w:ilvl w:val="3"/>
          <w:numId w:val="28"/>
        </w:numPr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国家法律法规或相关标准规定的重大危险源，以及特种设备及其作业、特殊作业、火灾等风险较大的危险源，应列为仓储重要危险源。</w:t>
      </w:r>
      <w:r>
        <w:rPr>
          <w:rFonts w:hint="eastAsia" w:ascii="宋体" w:hAnsi="宋体" w:eastAsia="宋体"/>
        </w:rPr>
        <w:t>仓储部门</w:t>
      </w:r>
      <w:r>
        <w:rPr>
          <w:rFonts w:hint="eastAsia" w:ascii="宋体" w:hAnsi="宋体" w:eastAsia="宋体" w:cs="宋体"/>
        </w:rPr>
        <w:t>应按照要求定期评估和申报，并</w:t>
      </w:r>
      <w:r>
        <w:rPr>
          <w:rFonts w:hint="eastAsia" w:ascii="宋体" w:hAnsi="宋体" w:eastAsia="宋体"/>
        </w:rPr>
        <w:t>保留证据</w:t>
      </w:r>
      <w:r>
        <w:rPr>
          <w:rFonts w:hint="eastAsia" w:ascii="宋体" w:hAnsi="宋体" w:eastAsia="宋体" w:cs="宋体"/>
        </w:rPr>
        <w:t>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对于曾经发生过事故、员工或相关方严重关注的危险源，应直接列为重要危险源。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仓储部门</w:t>
      </w:r>
      <w:r>
        <w:rPr>
          <w:rFonts w:hint="eastAsia" w:ascii="宋体" w:hAnsi="宋体" w:eastAsia="宋体" w:cs="宋体"/>
        </w:rPr>
        <w:t>应规定风险评价的方法和风险分级标准。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宜采用定性分析和分值计算相结合的方法。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仓储部门应</w:t>
      </w:r>
      <w:r>
        <w:rPr>
          <w:rFonts w:hint="eastAsia" w:ascii="宋体" w:hAnsi="宋体" w:eastAsia="宋体" w:cs="宋体"/>
        </w:rPr>
        <w:t>在对危险源进行风险评价基础上，形成仓储部门重要危险源清单。</w:t>
      </w:r>
    </w:p>
    <w:p>
      <w:pPr>
        <w:pStyle w:val="103"/>
        <w:spacing w:beforeLines="0" w:afterLines="0"/>
        <w:ind w:left="0"/>
        <w:rPr>
          <w:rFonts w:ascii="宋体" w:hAnsi="宋体" w:cs="宋体"/>
        </w:rPr>
      </w:pPr>
      <w:r>
        <w:rPr>
          <w:rFonts w:hint="eastAsia" w:ascii="宋体" w:hAnsi="宋体" w:cs="宋体"/>
        </w:rPr>
        <w:t>控制措施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控制措施宜包括消除、工程控制、标识、管理控制、使用个体防护用品等。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制定仓储安全管理目标、管理方案、管理制度、操作规程和应急预案等时，应考虑仓储危险源的辨识和风险评价结果。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员工接受培训内容，应包括仓储危险源的辨识、风险评价和控制措施等。</w:t>
      </w:r>
    </w:p>
    <w:p>
      <w:pPr>
        <w:pStyle w:val="99"/>
        <w:spacing w:beforeLines="0" w:afterLines="0"/>
        <w:rPr>
          <w:rFonts w:hAnsi="黑体"/>
        </w:rPr>
      </w:pPr>
      <w:bookmarkStart w:id="122" w:name="_Toc463783988"/>
      <w:bookmarkStart w:id="123" w:name="_Toc463784370"/>
      <w:bookmarkStart w:id="124" w:name="_Toc463791878"/>
      <w:bookmarkStart w:id="125" w:name="_Toc464041421"/>
      <w:bookmarkStart w:id="126" w:name="_Toc465523976"/>
      <w:bookmarkStart w:id="127" w:name="_Toc465605504"/>
      <w:bookmarkStart w:id="128" w:name="_Toc465605784"/>
      <w:r>
        <w:rPr>
          <w:rFonts w:hint="eastAsia" w:hAnsi="黑体"/>
        </w:rPr>
        <w:t>仓储危险化学品管理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ascii="宋体" w:hAnsi="宋体" w:eastAsia="宋体"/>
        </w:rPr>
        <w:t>仓储部门</w:t>
      </w:r>
      <w:r>
        <w:rPr>
          <w:rFonts w:hint="eastAsia" w:ascii="宋体" w:hAnsi="宋体" w:eastAsia="宋体" w:cs="宋体"/>
        </w:rPr>
        <w:t>应设专用的危险化学品库房。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ascii="宋体" w:hAnsi="宋体" w:eastAsia="宋体" w:cs="宋体"/>
        </w:rPr>
        <w:t>危险化学品入库前，应核查登记。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ascii="宋体" w:hAnsi="宋体" w:eastAsia="宋体" w:cs="宋体"/>
        </w:rPr>
        <w:t>危险化学品出库时，应办理领用手续。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ascii="宋体" w:hAnsi="宋体" w:eastAsia="宋体" w:cs="宋体"/>
          <w:color w:val="0D0D0D"/>
        </w:rPr>
        <w:t>使用现场保存的</w:t>
      </w:r>
      <w:r>
        <w:rPr>
          <w:rFonts w:hint="eastAsia" w:ascii="宋体" w:hAnsi="宋体" w:eastAsia="宋体" w:cs="宋体"/>
        </w:rPr>
        <w:t>危险化学品，</w:t>
      </w:r>
      <w:r>
        <w:rPr>
          <w:rFonts w:hint="eastAsia" w:ascii="宋体" w:hAnsi="宋体" w:eastAsia="宋体" w:cs="宋体"/>
          <w:color w:val="0D0D0D"/>
        </w:rPr>
        <w:t>不应超过一昼夜用量，不应保存剧毒品。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ascii="宋体" w:hAnsi="宋体" w:eastAsia="宋体" w:cs="宋体"/>
          <w:color w:val="0D0D0D"/>
        </w:rPr>
        <w:t>危险化学品保管人员等，须经过培训，合格者方可上岗。</w:t>
      </w:r>
    </w:p>
    <w:p>
      <w:pPr>
        <w:pStyle w:val="99"/>
        <w:spacing w:beforeLines="0" w:afterLines="0"/>
        <w:rPr>
          <w:rFonts w:hAnsi="黑体"/>
        </w:rPr>
      </w:pPr>
      <w:r>
        <w:rPr>
          <w:rFonts w:hint="eastAsia" w:hAnsi="黑体"/>
        </w:rPr>
        <w:t>仓储特殊作业管理</w:t>
      </w:r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hAnsi="黑体" w:cs="宋体"/>
        </w:rPr>
        <w:t>建立</w:t>
      </w:r>
      <w:bookmarkStart w:id="129" w:name="_Toc465523978"/>
      <w:r>
        <w:rPr>
          <w:rFonts w:hint="eastAsia" w:hAnsi="黑体"/>
          <w:color w:val="000000"/>
        </w:rPr>
        <w:t>特殊作业管理</w:t>
      </w:r>
      <w:bookmarkEnd w:id="129"/>
      <w:r>
        <w:rPr>
          <w:rFonts w:hint="eastAsia" w:hAnsi="黑体" w:cs="宋体"/>
        </w:rPr>
        <w:t>制度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仓储部门应</w:t>
      </w:r>
      <w:r>
        <w:rPr>
          <w:rFonts w:hint="eastAsia" w:ascii="宋体" w:hAnsi="宋体" w:eastAsia="宋体"/>
          <w:color w:val="000000"/>
        </w:rPr>
        <w:t>建立各类特殊作业审批制度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仓储部门管辖区域进行特殊作业时，</w:t>
      </w:r>
      <w:r>
        <w:rPr>
          <w:rFonts w:hint="eastAsia" w:ascii="宋体" w:hAnsi="宋体" w:eastAsia="宋体"/>
        </w:rPr>
        <w:t>监护人应是现场作业人员或安全主管人员。</w:t>
      </w:r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相关方在仓储部门管辖区域，从事特殊作业时，其监护人由相关方指定。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hAnsi="黑体" w:cs="宋体"/>
        </w:rPr>
        <w:t>动火作业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仓储部门应在</w:t>
      </w:r>
      <w:r>
        <w:rPr>
          <w:rFonts w:hint="eastAsia" w:ascii="宋体" w:hAnsi="宋体" w:eastAsia="宋体" w:cs="宋体"/>
        </w:rPr>
        <w:t>动火作业前，组织清理现场，做好各项准备工作。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</w:rPr>
        <w:t>动火作业，应</w:t>
      </w:r>
      <w:r>
        <w:rPr>
          <w:rFonts w:hint="eastAsia" w:ascii="宋体" w:hAnsi="宋体" w:eastAsia="宋体" w:cs="宋体"/>
          <w:color w:val="000000"/>
        </w:rPr>
        <w:t>执行</w:t>
      </w:r>
      <w:r>
        <w:rPr>
          <w:rFonts w:hint="eastAsia" w:ascii="宋体" w:hAnsi="宋体" w:eastAsia="宋体"/>
          <w:color w:val="000000"/>
        </w:rPr>
        <w:t>GB30871和AQ3022的相关规定。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hAnsi="黑体" w:cs="宋体"/>
        </w:rPr>
        <w:t>高处作业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仓储部门应在高处</w:t>
      </w:r>
      <w:r>
        <w:rPr>
          <w:rFonts w:hint="eastAsia" w:ascii="宋体" w:hAnsi="宋体" w:eastAsia="宋体" w:cs="宋体"/>
        </w:rPr>
        <w:t>作业前，做好各项准备工作。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</w:rPr>
        <w:t>高处作业，应</w:t>
      </w:r>
      <w:r>
        <w:rPr>
          <w:rFonts w:hint="eastAsia" w:ascii="宋体" w:hAnsi="宋体" w:eastAsia="宋体" w:cs="宋体"/>
          <w:color w:val="000000"/>
        </w:rPr>
        <w:t>执行</w:t>
      </w:r>
      <w:r>
        <w:rPr>
          <w:rFonts w:hint="eastAsia" w:ascii="宋体" w:hAnsi="宋体" w:eastAsia="宋体"/>
          <w:color w:val="000000"/>
        </w:rPr>
        <w:t>GB30871、</w:t>
      </w:r>
      <w:r>
        <w:rPr>
          <w:rFonts w:ascii="宋体" w:hAnsi="宋体" w:cs="宋体"/>
        </w:rPr>
        <w:t>GB11651</w:t>
      </w:r>
      <w:r>
        <w:rPr>
          <w:rFonts w:hint="eastAsia" w:ascii="宋体" w:hAnsi="宋体" w:eastAsia="宋体"/>
          <w:color w:val="000000"/>
        </w:rPr>
        <w:t>和</w:t>
      </w:r>
      <w:r>
        <w:rPr>
          <w:rFonts w:ascii="宋体" w:hAnsi="宋体" w:eastAsia="宋体" w:cs="宋体"/>
          <w:color w:val="0D0D0D"/>
        </w:rPr>
        <w:t>GB</w:t>
      </w:r>
      <w:r>
        <w:rPr>
          <w:rFonts w:hint="eastAsia" w:ascii="宋体" w:hAnsi="宋体" w:eastAsia="宋体" w:cs="宋体"/>
          <w:color w:val="0D0D0D"/>
        </w:rPr>
        <w:t>／</w:t>
      </w:r>
      <w:r>
        <w:rPr>
          <w:rFonts w:ascii="宋体" w:hAnsi="宋体" w:eastAsia="宋体" w:cs="宋体"/>
          <w:color w:val="0D0D0D"/>
        </w:rPr>
        <w:t>T</w:t>
      </w:r>
      <w:r>
        <w:rPr>
          <w:rFonts w:hint="eastAsia" w:ascii="宋体" w:hAnsi="宋体" w:eastAsia="宋体"/>
        </w:rPr>
        <w:t>3608</w:t>
      </w:r>
      <w:r>
        <w:rPr>
          <w:rFonts w:hint="eastAsia" w:ascii="宋体" w:hAnsi="宋体" w:eastAsia="宋体"/>
          <w:color w:val="000000"/>
        </w:rPr>
        <w:t>的相关规定。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hAnsi="黑体" w:cs="宋体"/>
        </w:rPr>
        <w:t>受限空间作业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仓储部门应</w:t>
      </w:r>
      <w:r>
        <w:rPr>
          <w:rFonts w:hint="eastAsia" w:ascii="宋体" w:hAnsi="宋体" w:eastAsia="宋体"/>
        </w:rPr>
        <w:t>依据</w:t>
      </w:r>
      <w:r>
        <w:rPr>
          <w:rFonts w:ascii="宋体" w:hAnsi="宋体" w:eastAsia="宋体"/>
          <w:color w:val="0D0D0D"/>
        </w:rPr>
        <w:t>GB8958</w:t>
      </w:r>
      <w:r>
        <w:rPr>
          <w:rFonts w:hint="eastAsia" w:ascii="宋体" w:hAnsi="宋体" w:eastAsia="宋体"/>
          <w:color w:val="0D0D0D"/>
        </w:rPr>
        <w:t>标准相关条款规定，</w:t>
      </w:r>
      <w:r>
        <w:rPr>
          <w:rFonts w:hint="eastAsia" w:ascii="宋体" w:hAnsi="宋体" w:eastAsia="宋体"/>
        </w:rPr>
        <w:t>评价受限空间作业场所、作业活动及其危险程度。</w:t>
      </w:r>
    </w:p>
    <w:p>
      <w:pPr>
        <w:pStyle w:val="108"/>
        <w:spacing w:beforeLines="0" w:afterLine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</w:rPr>
        <w:t>受限空间作业，应</w:t>
      </w:r>
      <w:r>
        <w:rPr>
          <w:rFonts w:hint="eastAsia" w:ascii="宋体" w:hAnsi="宋体" w:eastAsia="宋体" w:cs="宋体"/>
          <w:color w:val="000000"/>
        </w:rPr>
        <w:t>执行</w:t>
      </w:r>
      <w:r>
        <w:rPr>
          <w:rFonts w:hint="eastAsia" w:ascii="宋体" w:hAnsi="宋体" w:eastAsia="宋体"/>
          <w:color w:val="000000"/>
        </w:rPr>
        <w:t>GB30871、</w:t>
      </w:r>
      <w:r>
        <w:rPr>
          <w:rFonts w:ascii="宋体" w:hAnsi="宋体" w:cs="宋体"/>
        </w:rPr>
        <w:t>GB11651</w:t>
      </w:r>
      <w:r>
        <w:rPr>
          <w:rFonts w:hint="eastAsia" w:ascii="宋体" w:hAnsi="宋体" w:eastAsia="宋体"/>
          <w:color w:val="000000"/>
        </w:rPr>
        <w:t>和</w:t>
      </w:r>
      <w:r>
        <w:rPr>
          <w:rFonts w:ascii="宋体" w:hAnsi="宋体" w:eastAsia="宋体"/>
          <w:color w:val="0D0D0D"/>
        </w:rPr>
        <w:t>GB8958</w:t>
      </w:r>
      <w:r>
        <w:rPr>
          <w:rFonts w:hint="eastAsia" w:ascii="宋体" w:hAnsi="宋体" w:eastAsia="宋体"/>
          <w:color w:val="0D0D0D"/>
        </w:rPr>
        <w:t>的</w:t>
      </w:r>
      <w:r>
        <w:rPr>
          <w:rFonts w:hint="eastAsia" w:ascii="宋体" w:hAnsi="宋体" w:eastAsia="宋体"/>
          <w:color w:val="000000"/>
        </w:rPr>
        <w:t>相关规定。</w:t>
      </w:r>
    </w:p>
    <w:p>
      <w:pPr>
        <w:pStyle w:val="99"/>
        <w:spacing w:before="156" w:after="156"/>
        <w:rPr>
          <w:rFonts w:hAnsi="黑体"/>
          <w:color w:val="000000"/>
        </w:rPr>
      </w:pPr>
      <w:bookmarkStart w:id="130" w:name="_Toc463783992"/>
      <w:bookmarkStart w:id="131" w:name="_Toc463784371"/>
      <w:bookmarkStart w:id="132" w:name="_Toc463791879"/>
      <w:bookmarkStart w:id="133" w:name="_Toc464041422"/>
      <w:bookmarkStart w:id="134" w:name="_Toc465523979"/>
      <w:bookmarkStart w:id="135" w:name="_Toc465605505"/>
      <w:bookmarkStart w:id="136" w:name="_Toc465605785"/>
      <w:bookmarkStart w:id="137" w:name="_Toc463783989"/>
      <w:r>
        <w:rPr>
          <w:rFonts w:hint="eastAsia" w:hAnsi="黑体"/>
          <w:color w:val="000000"/>
        </w:rPr>
        <w:t>仓储基础设施安全管理</w:t>
      </w:r>
      <w:bookmarkEnd w:id="130"/>
      <w:bookmarkEnd w:id="131"/>
      <w:bookmarkEnd w:id="132"/>
      <w:bookmarkEnd w:id="133"/>
      <w:bookmarkEnd w:id="134"/>
      <w:bookmarkEnd w:id="135"/>
      <w:bookmarkEnd w:id="136"/>
    </w:p>
    <w:p>
      <w:pPr>
        <w:pStyle w:val="103"/>
        <w:spacing w:beforeLines="0" w:afterLines="0"/>
        <w:ind w:left="0"/>
        <w:rPr>
          <w:rFonts w:ascii="宋体" w:hAnsi="宋体" w:cs="宋体"/>
        </w:rPr>
      </w:pPr>
      <w:bookmarkStart w:id="138" w:name="_Toc380608144"/>
      <w:bookmarkStart w:id="139" w:name="_Toc380608229"/>
      <w:bookmarkStart w:id="140" w:name="_Toc380761131"/>
      <w:bookmarkStart w:id="141" w:name="_Toc465523980"/>
      <w:r>
        <w:rPr>
          <w:rFonts w:hint="eastAsia" w:hAnsi="黑体" w:cs="宋体"/>
        </w:rPr>
        <w:t>建立仓储基础设施安全</w:t>
      </w:r>
      <w:r>
        <w:rPr>
          <w:rFonts w:hint="eastAsia" w:ascii="宋体" w:hAnsi="宋体" w:cs="宋体"/>
        </w:rPr>
        <w:t>管理制度</w:t>
      </w:r>
    </w:p>
    <w:p>
      <w:pPr>
        <w:pStyle w:val="108"/>
        <w:spacing w:beforeLines="0" w:afterLines="0"/>
      </w:pPr>
      <w:r>
        <w:rPr>
          <w:rFonts w:hint="eastAsia" w:ascii="宋体" w:hAnsi="宋体" w:eastAsia="宋体" w:cs="宋体"/>
        </w:rPr>
        <w:t>仓储部门应参与制定仓储基础设施安全管理制度。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仓储部门应建立仓储基础设施清单。</w:t>
      </w:r>
    </w:p>
    <w:p>
      <w:pPr>
        <w:pStyle w:val="108"/>
        <w:spacing w:beforeLines="0" w:afterLine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仓储基础设施</w:t>
      </w:r>
      <w:r>
        <w:rPr>
          <w:rFonts w:hint="eastAsia" w:ascii="宋体" w:hAnsi="宋体" w:eastAsia="宋体"/>
        </w:rPr>
        <w:t>安装、调试、检查与维修，应由本企业专业人员或委托有资质的机构进行，并保存证据。</w:t>
      </w:r>
    </w:p>
    <w:p>
      <w:pPr>
        <w:pStyle w:val="103"/>
        <w:spacing w:beforeLines="0" w:afterLines="0"/>
        <w:ind w:left="0"/>
        <w:rPr>
          <w:rFonts w:hAnsi="黑体" w:cs="宋体"/>
        </w:rPr>
      </w:pPr>
      <w:r>
        <w:rPr>
          <w:rFonts w:hint="eastAsia" w:hAnsi="黑体" w:cs="宋体"/>
        </w:rPr>
        <w:t>仓库通风及空气调节</w:t>
      </w:r>
      <w:bookmarkEnd w:id="138"/>
      <w:bookmarkEnd w:id="139"/>
      <w:bookmarkEnd w:id="140"/>
      <w:bookmarkEnd w:id="141"/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仓库室内宜设置温湿度计，定期记录温湿度情况；对于露天堆场，宜定期记录温湿度情况。</w:t>
      </w:r>
    </w:p>
    <w:p>
      <w:pPr>
        <w:pStyle w:val="108"/>
        <w:spacing w:beforeLines="0" w:afterLines="0"/>
        <w:rPr>
          <w:rFonts w:hAnsi="宋体"/>
          <w:color w:val="0D0D0D"/>
        </w:rPr>
      </w:pPr>
      <w:r>
        <w:rPr>
          <w:rFonts w:hint="eastAsia" w:ascii="宋体" w:hAnsi="宋体" w:eastAsia="宋体"/>
          <w:color w:val="0D0D0D"/>
        </w:rPr>
        <w:t>仓库室内不能满足要求时，应根据所储存物品的要求，设置空气调节设施或除湿设施等</w:t>
      </w:r>
      <w:r>
        <w:rPr>
          <w:rFonts w:hint="eastAsia" w:hAnsi="宋体"/>
          <w:color w:val="0D0D0D"/>
        </w:rPr>
        <w:t>。</w:t>
      </w:r>
    </w:p>
    <w:p>
      <w:pPr>
        <w:pStyle w:val="108"/>
        <w:spacing w:beforeLines="0" w:afterLines="0"/>
      </w:pPr>
      <w:r>
        <w:rPr>
          <w:rFonts w:hint="eastAsia" w:ascii="宋体" w:hAnsi="宋体" w:eastAsia="宋体"/>
        </w:rPr>
        <w:t>仓储部门应根据设施设备特性及安全要求，组织点检和巡检，并保留证据。</w:t>
      </w:r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仓库通风及空气调节，应执行</w:t>
      </w:r>
      <w:r>
        <w:rPr>
          <w:rFonts w:ascii="宋体" w:hAnsi="宋体" w:eastAsia="宋体" w:cs="宋体"/>
        </w:rPr>
        <w:t>GBZl</w:t>
      </w:r>
      <w:r>
        <w:rPr>
          <w:rFonts w:hint="eastAsia" w:ascii="宋体" w:hAnsi="宋体" w:eastAsia="宋体" w:cs="宋体"/>
        </w:rPr>
        <w:t>的相关规定。</w:t>
      </w:r>
    </w:p>
    <w:p>
      <w:pPr>
        <w:pStyle w:val="103"/>
        <w:spacing w:beforeLines="0" w:afterLines="0"/>
        <w:ind w:left="0"/>
        <w:rPr>
          <w:rFonts w:hAnsi="宋体" w:cs="宋体"/>
        </w:rPr>
      </w:pPr>
      <w:bookmarkStart w:id="142" w:name="_Toc465523982"/>
      <w:r>
        <w:rPr>
          <w:rFonts w:hint="eastAsia" w:hAnsi="宋体" w:cs="宋体"/>
        </w:rPr>
        <w:t>照明及用电</w:t>
      </w:r>
      <w:bookmarkEnd w:id="142"/>
    </w:p>
    <w:p>
      <w:pPr>
        <w:pStyle w:val="108"/>
        <w:spacing w:beforeLines="0" w:afterLines="0"/>
        <w:rPr>
          <w:rFonts w:ascii="宋体" w:hAnsi="宋体" w:eastAsia="宋体"/>
        </w:rPr>
      </w:pPr>
      <w:bookmarkStart w:id="143" w:name="_Toc380608154"/>
      <w:bookmarkStart w:id="144" w:name="_Toc380608151"/>
      <w:r>
        <w:rPr>
          <w:rFonts w:hint="eastAsia" w:ascii="宋体" w:hAnsi="宋体" w:eastAsia="宋体"/>
        </w:rPr>
        <w:t>仓库照明及用电应根据情况，分区、分层控制</w:t>
      </w:r>
      <w:bookmarkEnd w:id="143"/>
      <w:r>
        <w:rPr>
          <w:rFonts w:hint="eastAsia" w:ascii="宋体" w:hAnsi="宋体" w:eastAsia="宋体"/>
        </w:rPr>
        <w:t>。</w:t>
      </w:r>
    </w:p>
    <w:p>
      <w:pPr>
        <w:pStyle w:val="108"/>
        <w:spacing w:beforeLines="0" w:afterLines="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</w:rPr>
        <w:t>仓库应选择防电燃灯具或防爆灯具</w:t>
      </w:r>
      <w:bookmarkEnd w:id="144"/>
      <w:r>
        <w:rPr>
          <w:rFonts w:hint="eastAsia" w:ascii="宋体" w:hAnsi="宋体" w:eastAsia="宋体"/>
        </w:rPr>
        <w:t>。</w:t>
      </w:r>
    </w:p>
    <w:p>
      <w:pPr>
        <w:pStyle w:val="108"/>
        <w:spacing w:beforeLines="0" w:afterLines="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</w:rPr>
        <w:t>仓库的照明及用电，</w:t>
      </w:r>
      <w:r>
        <w:rPr>
          <w:rFonts w:hint="eastAsia" w:ascii="宋体" w:hAnsi="宋体" w:eastAsia="宋体" w:cs="宋体"/>
        </w:rPr>
        <w:t>应</w:t>
      </w:r>
      <w:r>
        <w:rPr>
          <w:rFonts w:hint="eastAsia" w:ascii="宋体" w:hAnsi="宋体" w:eastAsia="宋体" w:cs="宋体"/>
          <w:color w:val="000000"/>
        </w:rPr>
        <w:t>执行</w:t>
      </w:r>
      <w:r>
        <w:rPr>
          <w:rFonts w:hint="eastAsia" w:ascii="宋体" w:hAnsi="宋体" w:eastAsia="宋体"/>
          <w:color w:val="000000"/>
        </w:rPr>
        <w:t>GB 50034的相关规定。</w:t>
      </w:r>
    </w:p>
    <w:p>
      <w:pPr>
        <w:pStyle w:val="103"/>
        <w:spacing w:beforeLines="0" w:afterLines="0"/>
        <w:ind w:left="0"/>
        <w:rPr>
          <w:rFonts w:ascii="宋体" w:hAnsi="宋体" w:eastAsia="宋体" w:cs="宋体"/>
        </w:rPr>
      </w:pPr>
      <w:bookmarkStart w:id="145" w:name="_Toc380608167"/>
      <w:bookmarkStart w:id="146" w:name="_Toc380608232"/>
      <w:bookmarkStart w:id="147" w:name="_Toc380761134"/>
      <w:bookmarkStart w:id="148" w:name="_Toc465523983"/>
      <w:r>
        <w:rPr>
          <w:rFonts w:hint="eastAsia" w:hAnsi="宋体" w:cs="宋体"/>
        </w:rPr>
        <w:t>防雷管理</w:t>
      </w:r>
    </w:p>
    <w:bookmarkEnd w:id="145"/>
    <w:bookmarkEnd w:id="146"/>
    <w:bookmarkEnd w:id="147"/>
    <w:bookmarkEnd w:id="148"/>
    <w:p>
      <w:pPr>
        <w:pStyle w:val="108"/>
        <w:spacing w:beforeLines="0" w:afterLines="0"/>
        <w:ind w:left="283" w:leftChars="135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仓储部门每年应在雷雨季节前，协助安全管理部门，检查雷电防护系统。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/>
        </w:rPr>
      </w:pPr>
      <w:bookmarkStart w:id="149" w:name="_Toc380608172"/>
      <w:r>
        <w:rPr>
          <w:rFonts w:hint="eastAsia" w:ascii="宋体" w:hAnsi="宋体" w:eastAsia="宋体"/>
        </w:rPr>
        <w:t>仓储部门每季度至少对防雷装置进行一次日常检查和维护，并保存相关证据。</w:t>
      </w:r>
      <w:bookmarkEnd w:id="149"/>
    </w:p>
    <w:p>
      <w:pPr>
        <w:pStyle w:val="108"/>
        <w:spacing w:beforeLines="0" w:afterLines="0"/>
        <w:ind w:left="283" w:leftChars="135"/>
        <w:rPr>
          <w:rFonts w:ascii="宋体" w:hAnsi="宋体" w:eastAsia="宋体"/>
          <w:color w:val="000000"/>
        </w:rPr>
      </w:pPr>
      <w:bookmarkStart w:id="150" w:name="_Toc380608173"/>
      <w:r>
        <w:rPr>
          <w:rFonts w:hint="eastAsia" w:ascii="宋体" w:hAnsi="宋体" w:eastAsia="宋体"/>
        </w:rPr>
        <w:t>仓储部门防雷管理，</w:t>
      </w:r>
      <w:r>
        <w:rPr>
          <w:rFonts w:hint="eastAsia" w:ascii="宋体" w:hAnsi="宋体" w:eastAsia="宋体" w:cs="宋体"/>
        </w:rPr>
        <w:t>应</w:t>
      </w:r>
      <w:r>
        <w:rPr>
          <w:rFonts w:hint="eastAsia" w:ascii="宋体" w:hAnsi="宋体" w:eastAsia="宋体" w:cs="宋体"/>
          <w:color w:val="000000"/>
        </w:rPr>
        <w:t>执行</w:t>
      </w:r>
      <w:r>
        <w:rPr>
          <w:rFonts w:hint="eastAsia" w:ascii="宋体" w:hAnsi="宋体" w:eastAsia="宋体"/>
          <w:color w:val="000000"/>
        </w:rPr>
        <w:t>GB50057的相关规定。</w:t>
      </w:r>
      <w:bookmarkEnd w:id="150"/>
    </w:p>
    <w:p>
      <w:pPr>
        <w:pStyle w:val="103"/>
        <w:spacing w:beforeLines="0" w:afterLines="0"/>
        <w:ind w:left="281" w:leftChars="134"/>
        <w:rPr>
          <w:rFonts w:hAnsi="宋体" w:cs="宋体"/>
          <w:color w:val="000000"/>
        </w:rPr>
      </w:pPr>
      <w:r>
        <w:rPr>
          <w:rFonts w:hint="eastAsia" w:hAnsi="宋体" w:cs="宋体"/>
          <w:color w:val="000000"/>
        </w:rPr>
        <w:t>抗震管理</w:t>
      </w:r>
    </w:p>
    <w:p>
      <w:pPr>
        <w:pStyle w:val="108"/>
        <w:spacing w:beforeLines="0" w:afterLines="0"/>
        <w:ind w:left="283" w:leftChars="135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仓储部门应在规定的期限内，协助安全管理部门，评估建筑物使用情况，检查抗震措施。</w:t>
      </w:r>
    </w:p>
    <w:p>
      <w:pPr>
        <w:pStyle w:val="108"/>
        <w:spacing w:beforeLines="0" w:afterLines="0"/>
        <w:ind w:left="281" w:leftChars="134"/>
        <w:rPr>
          <w:rFonts w:hAnsi="宋体"/>
          <w:color w:val="000000"/>
        </w:rPr>
      </w:pPr>
      <w:r>
        <w:rPr>
          <w:rFonts w:hint="eastAsia" w:ascii="宋体" w:hAnsi="宋体" w:eastAsia="宋体"/>
          <w:color w:val="000000"/>
        </w:rPr>
        <w:t>仓储部门抗震管理，应</w:t>
      </w:r>
      <w:r>
        <w:rPr>
          <w:rFonts w:hint="eastAsia" w:ascii="宋体" w:hAnsi="宋体" w:eastAsia="宋体" w:cs="宋体"/>
          <w:color w:val="000000"/>
        </w:rPr>
        <w:t>执行</w:t>
      </w:r>
      <w:r>
        <w:rPr>
          <w:rFonts w:hint="eastAsia" w:ascii="宋体" w:hAnsi="宋体" w:eastAsia="宋体"/>
          <w:color w:val="000000"/>
        </w:rPr>
        <w:t>GB50011的相关规定。</w:t>
      </w:r>
    </w:p>
    <w:p>
      <w:pPr>
        <w:pStyle w:val="103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hAnsi="黑体" w:cs="宋体"/>
          <w:color w:val="000000"/>
        </w:rPr>
        <w:t>特种设备管理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仓储部门应协助主管部门，建立和实施仓储特种设备登记制度；并按台</w:t>
      </w:r>
      <w:r>
        <w:rPr>
          <w:rFonts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套</w:t>
      </w:r>
      <w:r>
        <w:rPr>
          <w:rFonts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建立特种设备安全技术档案。</w:t>
      </w:r>
    </w:p>
    <w:p>
      <w:pPr>
        <w:pStyle w:val="108"/>
        <w:spacing w:beforeLines="0" w:afterLines="0"/>
        <w:ind w:left="283" w:leftChars="13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仓储部门应确定管辖区域特种设备主管人员。 </w:t>
      </w:r>
    </w:p>
    <w:p>
      <w:pPr>
        <w:pStyle w:val="108"/>
        <w:spacing w:beforeLines="0" w:afterLines="0"/>
        <w:ind w:left="283" w:leftChars="135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</w:rPr>
        <w:t>仓储部门对特种设备操作人员培训的管理，</w:t>
      </w:r>
      <w:r>
        <w:rPr>
          <w:rFonts w:hint="eastAsia" w:ascii="宋体" w:hAnsi="宋体" w:eastAsia="宋体" w:cs="宋体"/>
          <w:color w:val="000000"/>
        </w:rPr>
        <w:t>见5.8.1.3。</w:t>
      </w:r>
    </w:p>
    <w:p>
      <w:pPr>
        <w:pStyle w:val="108"/>
        <w:spacing w:beforeLines="0" w:afterLines="0"/>
        <w:ind w:left="283" w:leftChars="135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仓储部门对特种设备操作人员，如发现有规定的职业禁忌症、妨碍正常作业的疾病或生理缺陷，应调离原岗位。</w:t>
      </w:r>
    </w:p>
    <w:p>
      <w:pPr>
        <w:pStyle w:val="99"/>
        <w:spacing w:beforeLines="0" w:afterLines="0"/>
        <w:ind w:left="281" w:leftChars="134"/>
        <w:rPr>
          <w:rFonts w:hAnsi="黑体"/>
          <w:color w:val="000000"/>
        </w:rPr>
      </w:pPr>
      <w:bookmarkStart w:id="151" w:name="_Toc463783993"/>
      <w:bookmarkStart w:id="152" w:name="_Toc463784372"/>
      <w:bookmarkStart w:id="153" w:name="_Toc463791880"/>
      <w:bookmarkStart w:id="154" w:name="_Toc464041423"/>
      <w:bookmarkStart w:id="155" w:name="_Toc465523984"/>
      <w:bookmarkStart w:id="156" w:name="_Toc465605506"/>
      <w:bookmarkStart w:id="157" w:name="_Toc465605786"/>
      <w:r>
        <w:rPr>
          <w:rFonts w:hint="eastAsia" w:hAnsi="黑体"/>
          <w:color w:val="000000"/>
        </w:rPr>
        <w:t>仓储消防安全管理</w:t>
      </w:r>
      <w:bookmarkEnd w:id="151"/>
      <w:bookmarkEnd w:id="152"/>
      <w:bookmarkEnd w:id="153"/>
      <w:bookmarkEnd w:id="154"/>
      <w:bookmarkEnd w:id="155"/>
      <w:bookmarkEnd w:id="156"/>
      <w:bookmarkEnd w:id="157"/>
    </w:p>
    <w:p>
      <w:pPr>
        <w:pStyle w:val="103"/>
        <w:spacing w:beforeLines="0" w:afterLines="0"/>
        <w:ind w:left="281" w:leftChars="134"/>
        <w:rPr>
          <w:rFonts w:hAnsi="黑体" w:cs="宋体"/>
        </w:rPr>
      </w:pPr>
      <w:r>
        <w:rPr>
          <w:rFonts w:hint="eastAsia" w:hAnsi="黑体" w:cs="宋体"/>
        </w:rPr>
        <w:t>建立仓储消防安全管理制度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仓储部门应参与制定仓储消防安全相关管理制度，宜包括对消防重点部位具体管理规定；应参与制定仓储消防安全应急预案，并以书面方式下发，具体</w:t>
      </w:r>
      <w:r>
        <w:rPr>
          <w:rFonts w:hint="eastAsia" w:ascii="宋体" w:hAnsi="宋体" w:eastAsia="宋体" w:cs="宋体"/>
          <w:color w:val="0D0D0D"/>
        </w:rPr>
        <w:t>执行</w:t>
      </w:r>
      <w:r>
        <w:rPr>
          <w:rFonts w:hint="eastAsia" w:ascii="宋体" w:hAnsi="宋体" w:eastAsia="宋体" w:cs="宋体"/>
          <w:color w:val="FF0000"/>
        </w:rPr>
        <w:t>GH/TXXXX-XXXX</w:t>
      </w:r>
      <w:r>
        <w:rPr>
          <w:rFonts w:hint="eastAsia" w:ascii="宋体" w:hAnsi="宋体" w:eastAsia="宋体" w:cs="宋体"/>
          <w:color w:val="0D0D0D"/>
        </w:rPr>
        <w:t>《农资企业应急预案编制和实施指南》的规定。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仓储部门应建立仓储部门消防设施和器材清单。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  <w:color w:val="0D0D0D"/>
        </w:rPr>
      </w:pPr>
      <w:r>
        <w:rPr>
          <w:rFonts w:hint="eastAsia" w:ascii="宋体" w:hAnsi="宋体" w:eastAsia="宋体" w:cs="宋体"/>
        </w:rPr>
        <w:t>仓储部门应参与编制仓储部门管辖区域火灾专项应急预案，具体</w:t>
      </w:r>
      <w:r>
        <w:rPr>
          <w:rFonts w:hint="eastAsia" w:ascii="宋体" w:hAnsi="宋体" w:eastAsia="宋体" w:cs="宋体"/>
          <w:color w:val="0D0D0D"/>
        </w:rPr>
        <w:t>执行</w:t>
      </w:r>
      <w:r>
        <w:rPr>
          <w:rFonts w:hint="eastAsia" w:ascii="宋体" w:hAnsi="宋体" w:eastAsia="宋体" w:cs="宋体"/>
          <w:color w:val="FF0000"/>
        </w:rPr>
        <w:t>GH/TXXXX-XXXX《农资企业应急预案编制和实施指南》</w:t>
      </w:r>
      <w:r>
        <w:rPr>
          <w:rFonts w:hint="eastAsia" w:ascii="宋体" w:hAnsi="宋体" w:eastAsia="宋体" w:cs="宋体"/>
          <w:color w:val="0D0D0D"/>
        </w:rPr>
        <w:t>的规定。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仓储部门对仓储消防管理，应执行GB50016和GB52201的相关规定。</w:t>
      </w:r>
    </w:p>
    <w:p>
      <w:pPr>
        <w:pStyle w:val="103"/>
        <w:spacing w:beforeLines="0" w:afterLines="0"/>
        <w:ind w:left="281" w:leftChars="134"/>
      </w:pPr>
      <w:bookmarkStart w:id="158" w:name="_Toc465523986"/>
      <w:r>
        <w:rPr>
          <w:rFonts w:hint="eastAsia"/>
        </w:rPr>
        <w:t>建设工程消防审核</w:t>
      </w:r>
      <w:bookmarkEnd w:id="158"/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对于新建、扩建、改建仓库及其他建筑物，仓储部门应协助安全管理部门，到当地消防主管部门备案，并保存备案证据。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仓储部门应参与本企业</w:t>
      </w:r>
      <w:r>
        <w:rPr>
          <w:rFonts w:hint="eastAsia" w:ascii="宋体" w:hAnsi="宋体" w:eastAsia="宋体" w:cs="宋体"/>
        </w:rPr>
        <w:t>组织的与仓储相关的内部消防设计评审，并保存评审证据。</w:t>
      </w:r>
    </w:p>
    <w:p>
      <w:pPr>
        <w:pStyle w:val="103"/>
        <w:spacing w:beforeLines="0" w:afterLines="0"/>
        <w:ind w:left="281" w:leftChars="134"/>
        <w:rPr>
          <w:rFonts w:ascii="宋体" w:hAnsi="宋体" w:cs="宋体"/>
        </w:rPr>
      </w:pPr>
      <w:bookmarkStart w:id="159" w:name="_Toc465523987"/>
      <w:r>
        <w:rPr>
          <w:rFonts w:hint="eastAsia"/>
        </w:rPr>
        <w:t>仓储</w:t>
      </w:r>
      <w:r>
        <w:rPr>
          <w:rFonts w:hint="eastAsia" w:ascii="宋体" w:hAnsi="宋体" w:cs="宋体"/>
        </w:rPr>
        <w:t>消防安全重点部位的管理</w:t>
      </w:r>
      <w:bookmarkEnd w:id="159"/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仓储部门</w:t>
      </w:r>
      <w:r>
        <w:rPr>
          <w:rFonts w:hint="eastAsia" w:ascii="宋体" w:hAnsi="宋体" w:eastAsia="宋体" w:cs="宋体"/>
        </w:rPr>
        <w:t>应建立仓储消防安全重点部位清单。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仓储部门</w:t>
      </w:r>
      <w:r>
        <w:rPr>
          <w:rFonts w:hint="eastAsia" w:ascii="宋体" w:hAnsi="宋体" w:eastAsia="宋体" w:cs="宋体"/>
        </w:rPr>
        <w:t>应确定仓储消防安全重点部位，例如危险化学品仓库等，并确定管理方法。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仓储部门应确定仓储消防安全重点部位的管理人员。</w:t>
      </w:r>
    </w:p>
    <w:p>
      <w:pPr>
        <w:pStyle w:val="103"/>
        <w:spacing w:beforeLines="0" w:afterLines="0"/>
        <w:ind w:left="281" w:leftChars="134"/>
        <w:rPr>
          <w:rFonts w:hAnsi="宋体"/>
        </w:rPr>
      </w:pPr>
      <w:bookmarkStart w:id="160" w:name="_Toc465523988"/>
      <w:r>
        <w:rPr>
          <w:rFonts w:hint="eastAsia" w:ascii="宋体" w:hAnsi="宋体" w:cs="宋体"/>
        </w:rPr>
        <w:t>消防</w:t>
      </w:r>
      <w:r>
        <w:rPr>
          <w:rFonts w:hint="eastAsia" w:hAnsi="宋体"/>
        </w:rPr>
        <w:t>日常管理</w:t>
      </w:r>
      <w:bookmarkEnd w:id="160"/>
    </w:p>
    <w:p>
      <w:pPr>
        <w:pStyle w:val="108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仓储部门应委派专人保管各项消防设施资料，并确保与现场情况相符。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仓储部门应确保管辖区域内消防通道的畅通。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</w:rPr>
        <w:t>仓储部门应在管辖区域内，设置醒目的安全警示标志，具体执行</w:t>
      </w:r>
      <w:r>
        <w:rPr>
          <w:rFonts w:hint="eastAsia" w:ascii="宋体" w:hAnsi="宋体" w:eastAsia="宋体" w:cs="宋体"/>
          <w:color w:val="FF0000"/>
        </w:rPr>
        <w:t>GH/TXXXX-XXXX</w:t>
      </w:r>
      <w:r>
        <w:rPr>
          <w:rFonts w:hint="eastAsia" w:ascii="宋体" w:hAnsi="宋体" w:eastAsia="宋体"/>
          <w:color w:val="FF0000"/>
        </w:rPr>
        <w:t>《农资物流标识规范》</w:t>
      </w:r>
      <w:r>
        <w:rPr>
          <w:rFonts w:hint="eastAsia" w:ascii="宋体" w:hAnsi="宋体" w:eastAsia="宋体"/>
          <w:color w:val="000000"/>
        </w:rPr>
        <w:t>的规定。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仓储部门应在规定期限内，按照仓储消防安全应急预案，实施演练，并保留证据</w:t>
      </w:r>
      <w:r>
        <w:rPr>
          <w:rFonts w:hint="eastAsia" w:ascii="宋体" w:hAnsi="宋体" w:eastAsia="宋体"/>
        </w:rPr>
        <w:t>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仓储部门应在规定的期限内，检查消防设施和器材，并保存证据。</w:t>
      </w:r>
    </w:p>
    <w:p>
      <w:pPr>
        <w:pStyle w:val="108"/>
        <w:spacing w:beforeLines="0" w:afterLines="0"/>
        <w:ind w:left="281" w:leftChars="134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需要动火作业时，办理动火手续，见5.3.2。</w:t>
      </w:r>
    </w:p>
    <w:p>
      <w:pPr>
        <w:pStyle w:val="99"/>
        <w:spacing w:beforeLines="0" w:afterLines="0"/>
        <w:ind w:left="281" w:leftChars="134"/>
        <w:rPr>
          <w:rFonts w:hAnsi="黑体"/>
          <w:color w:val="000000"/>
        </w:rPr>
      </w:pPr>
      <w:bookmarkStart w:id="161" w:name="_Toc465605790"/>
      <w:bookmarkStart w:id="162" w:name="_Toc463783991"/>
      <w:bookmarkStart w:id="163" w:name="_Toc465523999"/>
      <w:bookmarkStart w:id="164" w:name="_Toc464041427"/>
      <w:bookmarkStart w:id="165" w:name="_Toc465605510"/>
      <w:bookmarkStart w:id="166" w:name="_Toc463784376"/>
      <w:bookmarkStart w:id="167" w:name="_Toc463791884"/>
      <w:r>
        <w:rPr>
          <w:rFonts w:hint="eastAsia" w:hAnsi="黑体"/>
          <w:color w:val="000000"/>
        </w:rPr>
        <w:t>仓储安全标识管理</w:t>
      </w:r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67"/>
        <w:ind w:left="283" w:leftChars="135"/>
        <w:rPr>
          <w:color w:val="C00000"/>
        </w:rPr>
      </w:pPr>
      <w:r>
        <w:rPr>
          <w:rFonts w:hint="eastAsia" w:hAnsi="宋体"/>
          <w:color w:val="C00000"/>
        </w:rPr>
        <w:t>仓储部门应按照</w:t>
      </w:r>
      <w:r>
        <w:rPr>
          <w:rFonts w:hint="eastAsia" w:hAnsi="宋体" w:cs="宋体"/>
          <w:color w:val="C00000"/>
        </w:rPr>
        <w:t>GH/TXXXX-XXXX</w:t>
      </w:r>
      <w:r>
        <w:rPr>
          <w:rFonts w:hint="eastAsia" w:hAnsi="宋体"/>
          <w:color w:val="C00000"/>
        </w:rPr>
        <w:t>《农资物流标识规范》的要求，进行仓储安全标识管理。</w:t>
      </w:r>
    </w:p>
    <w:p>
      <w:pPr>
        <w:pStyle w:val="99"/>
        <w:spacing w:beforeLines="0" w:afterLines="0"/>
        <w:ind w:left="281" w:leftChars="134"/>
        <w:rPr>
          <w:rFonts w:hAnsi="黑体" w:cs="MS Mincho"/>
          <w:color w:val="000000"/>
        </w:rPr>
      </w:pPr>
      <w:bookmarkStart w:id="168" w:name="_Toc465524003"/>
      <w:bookmarkStart w:id="169" w:name="_Toc464041428"/>
      <w:bookmarkStart w:id="170" w:name="_Toc465605511"/>
      <w:bookmarkStart w:id="171" w:name="_Toc465605791"/>
      <w:bookmarkStart w:id="172" w:name="_Toc463783998"/>
      <w:bookmarkStart w:id="173" w:name="_Toc463784377"/>
      <w:bookmarkStart w:id="174" w:name="_Toc463791885"/>
      <w:r>
        <w:rPr>
          <w:rFonts w:hint="eastAsia" w:hAnsi="黑体"/>
          <w:color w:val="000000"/>
        </w:rPr>
        <w:t>仓储安全应急准备和响应</w:t>
      </w:r>
      <w:r>
        <w:rPr>
          <w:rFonts w:hint="eastAsia" w:hAnsi="黑体" w:cs="MS Mincho"/>
          <w:color w:val="000000"/>
        </w:rPr>
        <w:t>管理</w:t>
      </w:r>
      <w:bookmarkEnd w:id="168"/>
      <w:bookmarkEnd w:id="169"/>
      <w:bookmarkEnd w:id="170"/>
      <w:bookmarkEnd w:id="171"/>
      <w:bookmarkEnd w:id="172"/>
      <w:bookmarkEnd w:id="173"/>
      <w:bookmarkEnd w:id="174"/>
    </w:p>
    <w:p>
      <w:pPr>
        <w:pStyle w:val="108"/>
        <w:numPr>
          <w:ilvl w:val="0"/>
          <w:numId w:val="0"/>
        </w:numPr>
        <w:spacing w:beforeLines="0" w:afterLines="0"/>
        <w:ind w:left="281" w:leftChars="134"/>
        <w:rPr>
          <w:color w:val="C00000"/>
        </w:rPr>
      </w:pPr>
      <w:r>
        <w:rPr>
          <w:rFonts w:hint="eastAsia"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C00000"/>
        </w:rPr>
        <w:t>仓储部门应按照</w:t>
      </w:r>
      <w:r>
        <w:rPr>
          <w:rFonts w:hint="eastAsia" w:ascii="宋体" w:hAnsi="宋体" w:eastAsia="宋体" w:cs="宋体"/>
          <w:color w:val="C00000"/>
        </w:rPr>
        <w:t>GH/TXXXX-XXXX</w:t>
      </w:r>
      <w:r>
        <w:rPr>
          <w:rFonts w:hint="eastAsia" w:ascii="宋体" w:hAnsi="宋体" w:eastAsia="宋体"/>
          <w:color w:val="C00000"/>
        </w:rPr>
        <w:t>《农资企业应急预案编制和实施指南》的要求，开展仓储安全管理相关的应急准备和响应管理工作</w:t>
      </w:r>
      <w:r>
        <w:rPr>
          <w:rFonts w:hint="eastAsia" w:ascii="宋体" w:hAnsi="宋体" w:eastAsia="宋体" w:cs="宋体"/>
          <w:color w:val="C00000"/>
        </w:rPr>
        <w:t>。</w:t>
      </w:r>
    </w:p>
    <w:p>
      <w:pPr>
        <w:pStyle w:val="99"/>
        <w:spacing w:beforeLines="0" w:afterLines="0"/>
        <w:rPr>
          <w:rFonts w:hAnsi="黑体"/>
          <w:color w:val="000000"/>
        </w:rPr>
      </w:pPr>
      <w:bookmarkStart w:id="175" w:name="_Toc464041429"/>
      <w:bookmarkStart w:id="176" w:name="_Toc463791886"/>
      <w:bookmarkStart w:id="177" w:name="_Toc463784378"/>
      <w:bookmarkStart w:id="178" w:name="_Toc465524006"/>
      <w:bookmarkStart w:id="179" w:name="_Toc465605512"/>
      <w:bookmarkStart w:id="180" w:name="_Toc465605792"/>
      <w:r>
        <w:rPr>
          <w:rFonts w:hint="eastAsia" w:hAnsi="黑体"/>
          <w:color w:val="000000"/>
        </w:rPr>
        <w:t>仓储安全培训</w:t>
      </w:r>
      <w:bookmarkEnd w:id="137"/>
      <w:bookmarkEnd w:id="175"/>
      <w:bookmarkEnd w:id="176"/>
      <w:bookmarkEnd w:id="177"/>
      <w:bookmarkEnd w:id="178"/>
      <w:bookmarkEnd w:id="179"/>
      <w:bookmarkEnd w:id="180"/>
    </w:p>
    <w:p>
      <w:pPr>
        <w:pStyle w:val="103"/>
        <w:spacing w:beforeLines="0" w:afterLines="0"/>
        <w:ind w:left="0"/>
        <w:rPr>
          <w:rFonts w:hAnsi="宋体" w:cs="宋体"/>
        </w:rPr>
      </w:pPr>
      <w:r>
        <w:rPr>
          <w:rFonts w:hint="eastAsia" w:hAnsi="宋体" w:cs="宋体"/>
        </w:rPr>
        <w:t>建立和实施仓储安全培训制度</w:t>
      </w:r>
    </w:p>
    <w:p>
      <w:pPr>
        <w:pStyle w:val="108"/>
        <w:spacing w:beforeLines="0" w:afterLines="0"/>
        <w:rPr>
          <w:rFonts w:ascii="宋体" w:hAnsi="宋体" w:eastAsia="宋体"/>
        </w:rPr>
      </w:pPr>
      <w:bookmarkStart w:id="181" w:name="_Toc380608115"/>
      <w:r>
        <w:rPr>
          <w:rFonts w:hint="eastAsia" w:ascii="宋体" w:hAnsi="宋体" w:eastAsia="宋体"/>
        </w:rPr>
        <w:t>仓储部门应协助培训主管部门，建立并实施仓储安全培训制度。</w:t>
      </w:r>
      <w:bookmarkEnd w:id="181"/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 w:cs="宋体"/>
        </w:rPr>
        <w:t>仓储安全培训，宜包括但不限于如下内容：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安全文化理念培训；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新员工的培训；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转复岗人员的培训；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涉及新技术、新工艺、新设备、新材料等人员的培训；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员工日常安全行为；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防抢、防盗、防偷的方法与实施；</w:t>
      </w:r>
    </w:p>
    <w:p>
      <w:pPr>
        <w:pStyle w:val="116"/>
        <w:numPr>
          <w:ilvl w:val="0"/>
          <w:numId w:val="29"/>
        </w:numPr>
      </w:pPr>
      <w:r>
        <w:rPr>
          <w:rFonts w:hint="eastAsia"/>
        </w:rPr>
        <w:t>反恐的方法与实施。</w:t>
      </w:r>
    </w:p>
    <w:p>
      <w:pPr>
        <w:pStyle w:val="108"/>
        <w:spacing w:beforeLines="0" w:afterLines="0"/>
      </w:pPr>
      <w:bookmarkStart w:id="182" w:name="_Toc380608116"/>
      <w:r>
        <w:rPr>
          <w:rFonts w:hint="eastAsia" w:ascii="宋体" w:hAnsi="宋体" w:eastAsia="宋体"/>
        </w:rPr>
        <w:t>仓储部门应协助培训主管部门，组织</w:t>
      </w:r>
      <w:bookmarkEnd w:id="182"/>
      <w:r>
        <w:rPr>
          <w:rFonts w:hint="eastAsia" w:ascii="宋体" w:hAnsi="宋体" w:eastAsia="宋体" w:cs="宋体"/>
        </w:rPr>
        <w:t>特种设备作业人员和特种作业人员的培训。</w:t>
      </w:r>
    </w:p>
    <w:p>
      <w:pPr>
        <w:pStyle w:val="103"/>
        <w:spacing w:beforeLines="0" w:afterLines="0"/>
        <w:ind w:left="0"/>
        <w:rPr>
          <w:rFonts w:hAnsi="宋体" w:cs="宋体"/>
        </w:rPr>
      </w:pPr>
      <w:r>
        <w:rPr>
          <w:rFonts w:hint="eastAsia" w:hAnsi="宋体" w:cs="宋体"/>
        </w:rPr>
        <w:t>建立和实施仓储安全培训计划</w:t>
      </w:r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仓储部门应协助培训主管部门，建立并实施仓储安全培训计划。</w:t>
      </w:r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仓储安全培训计划，应包括内部培训和外部培训。</w:t>
      </w:r>
    </w:p>
    <w:p>
      <w:pPr>
        <w:pStyle w:val="108"/>
        <w:spacing w:beforeLines="0" w:afterLines="0"/>
      </w:pPr>
      <w:r>
        <w:rPr>
          <w:rFonts w:hint="eastAsia" w:ascii="宋体" w:hAnsi="宋体" w:eastAsia="宋体"/>
        </w:rPr>
        <w:t>仓储安全培训应按计划实施，并保留证据。</w:t>
      </w:r>
    </w:p>
    <w:p>
      <w:pPr>
        <w:pStyle w:val="108"/>
        <w:spacing w:beforeLines="0" w:afterLines="0"/>
      </w:pPr>
      <w:r>
        <w:rPr>
          <w:rFonts w:hint="eastAsia" w:ascii="宋体" w:hAnsi="宋体" w:eastAsia="宋体"/>
        </w:rPr>
        <w:t>必要时，可以进行仓储安全培训效果评价。</w:t>
      </w:r>
    </w:p>
    <w:p>
      <w:pPr>
        <w:pStyle w:val="108"/>
        <w:spacing w:beforeLines="0" w:afterLines="0"/>
        <w:rPr>
          <w:rFonts w:ascii="宋体" w:hAnsi="宋体" w:eastAsia="宋体"/>
        </w:rPr>
      </w:pPr>
      <w:bookmarkStart w:id="183" w:name="_Toc380608122"/>
      <w:r>
        <w:rPr>
          <w:rFonts w:hint="eastAsia" w:ascii="宋体" w:hAnsi="宋体" w:eastAsia="宋体"/>
        </w:rPr>
        <w:t>仓储部门班组长宜一年参加一次仓储安全培训。</w:t>
      </w:r>
    </w:p>
    <w:p>
      <w:pPr>
        <w:pStyle w:val="108"/>
        <w:spacing w:beforeLines="0" w:afterLine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</w:t>
      </w:r>
      <w:bookmarkStart w:id="184" w:name="_Toc380608123"/>
      <w:r>
        <w:rPr>
          <w:rFonts w:hint="eastAsia" w:ascii="宋体" w:hAnsi="宋体" w:eastAsia="宋体"/>
        </w:rPr>
        <w:t>一般员工宜一年参加一次安全知识和安全意识的培训</w:t>
      </w:r>
      <w:bookmarkEnd w:id="184"/>
      <w:r>
        <w:rPr>
          <w:rFonts w:hint="eastAsia" w:ascii="宋体" w:hAnsi="宋体" w:eastAsia="宋体"/>
        </w:rPr>
        <w:t>。</w:t>
      </w:r>
    </w:p>
    <w:bookmarkEnd w:id="183"/>
    <w:p>
      <w:pPr>
        <w:pStyle w:val="102"/>
        <w:spacing w:beforeLines="0" w:afterLines="0"/>
        <w:rPr>
          <w:color w:val="000000"/>
        </w:rPr>
      </w:pPr>
      <w:bookmarkStart w:id="185" w:name="_Toc465524012"/>
      <w:bookmarkStart w:id="186" w:name="_Toc465605514"/>
      <w:bookmarkStart w:id="187" w:name="_Toc465605794"/>
      <w:bookmarkStart w:id="188" w:name="_Toc479517103"/>
      <w:bookmarkStart w:id="189" w:name="_Toc479517318"/>
      <w:bookmarkStart w:id="190" w:name="_Toc479517377"/>
      <w:bookmarkStart w:id="191" w:name="_Toc490925514"/>
      <w:bookmarkStart w:id="192" w:name="_Toc494552463"/>
      <w:r>
        <w:rPr>
          <w:rFonts w:hint="eastAsia"/>
          <w:color w:val="000000"/>
        </w:rPr>
        <w:t>仓储安全检查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>
      <w:pPr>
        <w:pStyle w:val="99"/>
        <w:spacing w:beforeLines="0" w:afterLines="0"/>
        <w:jc w:val="both"/>
      </w:pPr>
      <w:bookmarkStart w:id="193" w:name="_Toc465524013"/>
      <w:bookmarkStart w:id="194" w:name="_Toc465605515"/>
      <w:bookmarkStart w:id="195" w:name="_Toc465605795"/>
      <w:r>
        <w:rPr>
          <w:rFonts w:hint="eastAsia"/>
        </w:rPr>
        <w:t>建立仓储安全检查制度</w:t>
      </w:r>
      <w:bookmarkEnd w:id="193"/>
      <w:bookmarkEnd w:id="194"/>
      <w:bookmarkEnd w:id="195"/>
    </w:p>
    <w:p>
      <w:pPr>
        <w:pStyle w:val="103"/>
        <w:spacing w:beforeLines="0" w:afterLines="0"/>
        <w:ind w:left="0"/>
        <w:jc w:val="both"/>
        <w:rPr>
          <w:rFonts w:ascii="宋体" w:hAnsi="宋体" w:eastAsia="宋体"/>
        </w:rPr>
      </w:pPr>
      <w:bookmarkStart w:id="196" w:name="_Toc380608095"/>
      <w:bookmarkStart w:id="197" w:name="_Toc465524014"/>
      <w:r>
        <w:rPr>
          <w:rFonts w:hint="eastAsia" w:ascii="宋体" w:hAnsi="宋体" w:eastAsia="宋体"/>
        </w:rPr>
        <w:t>仓储部门应建立仓储安全检查制度。</w:t>
      </w:r>
      <w:bookmarkEnd w:id="196"/>
      <w:bookmarkEnd w:id="197"/>
    </w:p>
    <w:p>
      <w:pPr>
        <w:pStyle w:val="103"/>
        <w:spacing w:beforeLines="0" w:afterLines="0"/>
        <w:ind w:left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检查内容应涵盖仓储安全管理各环节。</w:t>
      </w:r>
    </w:p>
    <w:p>
      <w:pPr>
        <w:pStyle w:val="99"/>
        <w:spacing w:beforeLines="0" w:afterLines="0"/>
      </w:pPr>
      <w:bookmarkStart w:id="198" w:name="_Toc465524016"/>
      <w:bookmarkStart w:id="199" w:name="_Toc465605516"/>
      <w:bookmarkStart w:id="200" w:name="_Toc465605796"/>
      <w:r>
        <w:rPr>
          <w:rFonts w:hint="eastAsia"/>
        </w:rPr>
        <w:t>开展仓储安全检查</w:t>
      </w:r>
      <w:bookmarkEnd w:id="198"/>
      <w:bookmarkEnd w:id="199"/>
      <w:bookmarkEnd w:id="200"/>
    </w:p>
    <w:p>
      <w:pPr>
        <w:pStyle w:val="103"/>
        <w:spacing w:beforeLines="0" w:afterLines="0"/>
        <w:ind w:left="0"/>
        <w:rPr>
          <w:rFonts w:ascii="宋体" w:hAnsi="宋体" w:eastAsia="宋体"/>
        </w:rPr>
      </w:pPr>
      <w:bookmarkStart w:id="201" w:name="_Toc465524017"/>
      <w:r>
        <w:rPr>
          <w:rFonts w:hint="eastAsia" w:ascii="宋体" w:hAnsi="宋体" w:eastAsia="宋体"/>
        </w:rPr>
        <w:t>仓储安全检查，宜包括季节性安全检查、重要节假日安全检查、日常巡查、专项安全检查和综合安全检查等。</w:t>
      </w:r>
    </w:p>
    <w:p>
      <w:pPr>
        <w:pStyle w:val="103"/>
        <w:spacing w:beforeLines="0" w:afterLines="0"/>
        <w:ind w:left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仓储安全检查时，宜提前制定检查方案。</w:t>
      </w:r>
    </w:p>
    <w:p>
      <w:pPr>
        <w:pStyle w:val="103"/>
        <w:spacing w:beforeLines="0" w:afterLines="0"/>
        <w:ind w:left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对于发现的问题，主管部门或岗位的人员应制订并实施整改方案。</w:t>
      </w:r>
    </w:p>
    <w:p>
      <w:pPr>
        <w:pStyle w:val="103"/>
        <w:spacing w:beforeLines="0" w:afterLines="0"/>
        <w:ind w:left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整改措施实施后的效果，应得到检查部门的确认，并保存证据。</w:t>
      </w:r>
    </w:p>
    <w:bookmarkEnd w:id="201"/>
    <w:p>
      <w:pPr>
        <w:pStyle w:val="102"/>
        <w:spacing w:beforeLines="0" w:afterLines="0"/>
        <w:rPr>
          <w:rFonts w:hAnsi="黑体"/>
          <w:color w:val="000000"/>
        </w:rPr>
      </w:pPr>
      <w:bookmarkStart w:id="202" w:name="_Toc463783999"/>
      <w:bookmarkStart w:id="203" w:name="_Toc463784382"/>
      <w:bookmarkStart w:id="204" w:name="_Toc463791889"/>
      <w:bookmarkStart w:id="205" w:name="_Toc465524019"/>
      <w:bookmarkStart w:id="206" w:name="_Toc465605517"/>
      <w:bookmarkStart w:id="207" w:name="_Toc465605797"/>
      <w:bookmarkStart w:id="208" w:name="_Toc479517104"/>
      <w:bookmarkStart w:id="209" w:name="_Toc479517319"/>
      <w:bookmarkStart w:id="210" w:name="_Toc479517378"/>
      <w:bookmarkStart w:id="211" w:name="_Toc490925515"/>
      <w:bookmarkStart w:id="212" w:name="_Toc494552464"/>
      <w:r>
        <w:rPr>
          <w:rFonts w:hint="eastAsia" w:hAnsi="黑体"/>
          <w:color w:val="000000"/>
        </w:rPr>
        <w:t>仓储安全绩效评价与</w:t>
      </w:r>
      <w:bookmarkEnd w:id="202"/>
      <w:bookmarkEnd w:id="203"/>
      <w:bookmarkEnd w:id="204"/>
      <w:r>
        <w:rPr>
          <w:rFonts w:hint="eastAsia" w:hAnsi="黑体"/>
          <w:color w:val="000000"/>
        </w:rPr>
        <w:t>改进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>
      <w:pPr>
        <w:pStyle w:val="99"/>
        <w:spacing w:beforeLines="0" w:afterLines="0"/>
        <w:ind w:hanging="1"/>
        <w:rPr>
          <w:rFonts w:hAnsi="宋体" w:cs="宋体"/>
        </w:rPr>
      </w:pPr>
      <w:bookmarkStart w:id="213" w:name="_Toc465605798"/>
      <w:bookmarkStart w:id="214" w:name="_Toc465605518"/>
      <w:bookmarkStart w:id="215" w:name="_Toc465524020"/>
      <w:r>
        <w:rPr>
          <w:rFonts w:hint="eastAsia" w:hAnsi="宋体" w:cs="宋体"/>
        </w:rPr>
        <w:t>仓储安全绩效</w:t>
      </w:r>
      <w:bookmarkEnd w:id="213"/>
      <w:bookmarkEnd w:id="214"/>
      <w:bookmarkEnd w:id="215"/>
      <w:r>
        <w:rPr>
          <w:rFonts w:hint="eastAsia" w:hAnsi="宋体" w:cs="宋体"/>
        </w:rPr>
        <w:t>评价</w:t>
      </w:r>
    </w:p>
    <w:p>
      <w:pPr>
        <w:pStyle w:val="103"/>
        <w:spacing w:beforeLines="0" w:afterLines="0"/>
        <w:ind w:left="0" w:hanging="1"/>
        <w:rPr>
          <w:rFonts w:ascii="宋体" w:hAnsi="宋体" w:eastAsia="宋体" w:cs="宋体"/>
        </w:rPr>
      </w:pPr>
      <w:bookmarkStart w:id="216" w:name="_Toc465524021"/>
      <w:r>
        <w:rPr>
          <w:rFonts w:hint="eastAsia" w:ascii="宋体" w:hAnsi="宋体" w:eastAsia="宋体" w:cs="宋体"/>
        </w:rPr>
        <w:t>仓储部门应建立仓储安全绩效评价制度。</w:t>
      </w:r>
      <w:bookmarkEnd w:id="216"/>
      <w:r>
        <w:rPr>
          <w:rFonts w:hint="eastAsia" w:ascii="宋体" w:hAnsi="宋体" w:eastAsia="宋体" w:cs="宋体"/>
        </w:rPr>
        <w:t>制度内容宜包括评价人员的任职资格和岗位职责、评价指标、评价周期、评价方法等。</w:t>
      </w:r>
    </w:p>
    <w:p>
      <w:pPr>
        <w:pStyle w:val="103"/>
        <w:spacing w:beforeLines="0" w:afterLines="0"/>
        <w:ind w:left="0" w:hanging="1"/>
        <w:rPr>
          <w:rFonts w:ascii="宋体" w:hAnsi="宋体" w:eastAsia="宋体" w:cs="宋体"/>
        </w:rPr>
      </w:pPr>
      <w:bookmarkStart w:id="217" w:name="_Toc465524022"/>
      <w:r>
        <w:rPr>
          <w:rFonts w:hint="eastAsia" w:ascii="宋体" w:hAnsi="宋体" w:eastAsia="宋体" w:cs="宋体"/>
        </w:rPr>
        <w:t>仓储部门开展仓储安全绩效评价时，</w:t>
      </w:r>
      <w:bookmarkEnd w:id="217"/>
      <w:r>
        <w:rPr>
          <w:rFonts w:hint="eastAsia" w:ascii="宋体" w:hAnsi="宋体" w:eastAsia="宋体" w:cs="宋体"/>
        </w:rPr>
        <w:t>应以事实和数据为依据，宜编写本年度安全绩效评价指标一览表；并保存评价资料。</w:t>
      </w:r>
    </w:p>
    <w:p>
      <w:pPr>
        <w:pStyle w:val="99"/>
        <w:spacing w:beforeLines="0" w:afterLines="0"/>
        <w:ind w:hanging="1"/>
      </w:pPr>
      <w:bookmarkStart w:id="218" w:name="_Toc464041437"/>
      <w:bookmarkStart w:id="219" w:name="_Toc465524023"/>
      <w:bookmarkStart w:id="220" w:name="_Toc465605519"/>
      <w:bookmarkStart w:id="221" w:name="_Toc465605799"/>
      <w:r>
        <w:rPr>
          <w:rFonts w:hint="eastAsia"/>
        </w:rPr>
        <w:t>改进</w:t>
      </w:r>
      <w:bookmarkEnd w:id="218"/>
      <w:bookmarkEnd w:id="219"/>
      <w:bookmarkEnd w:id="220"/>
      <w:bookmarkEnd w:id="221"/>
    </w:p>
    <w:p>
      <w:pPr>
        <w:pStyle w:val="103"/>
        <w:spacing w:beforeLines="0" w:afterLines="0"/>
        <w:ind w:left="0" w:hanging="1"/>
        <w:rPr>
          <w:rFonts w:ascii="宋体" w:hAnsi="宋体" w:eastAsia="宋体"/>
        </w:rPr>
      </w:pPr>
      <w:bookmarkStart w:id="222" w:name="_Toc465524024"/>
      <w:r>
        <w:rPr>
          <w:rFonts w:hint="eastAsia" w:ascii="宋体" w:hAnsi="宋体" w:eastAsia="宋体"/>
        </w:rPr>
        <w:t>仓储部门应根据安全绩效评价结果，查找仓储安全管理问题，分析产生原因</w:t>
      </w:r>
      <w:bookmarkEnd w:id="222"/>
      <w:r>
        <w:rPr>
          <w:rFonts w:hint="eastAsia" w:ascii="宋体" w:hAnsi="宋体" w:eastAsia="宋体"/>
        </w:rPr>
        <w:t>。</w:t>
      </w:r>
    </w:p>
    <w:p>
      <w:pPr>
        <w:pStyle w:val="103"/>
        <w:spacing w:beforeLines="0" w:afterLines="0" w:line="360" w:lineRule="exact"/>
        <w:ind w:left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仓储部门应选择和确定改进机会，制定和实施改进措</w:t>
      </w:r>
      <w:r>
        <w:rPr>
          <w:rFonts w:hint="eastAsia" w:ascii="宋体" w:hAnsi="宋体" w:eastAsia="宋体"/>
          <w:color w:val="000000"/>
        </w:rPr>
        <w:t>施</w:t>
      </w:r>
      <w:r>
        <w:rPr>
          <w:rFonts w:hint="eastAsia" w:ascii="宋体" w:hAnsi="宋体" w:eastAsia="宋体"/>
        </w:rPr>
        <w:t>。</w:t>
      </w:r>
    </w:p>
    <w:p>
      <w:pPr>
        <w:pStyle w:val="128"/>
      </w:pPr>
      <w:bookmarkStart w:id="223" w:name="BKCKWX"/>
      <w:bookmarkStart w:id="224" w:name="_Toc463784001"/>
      <w:bookmarkStart w:id="225" w:name="_Toc463784384"/>
      <w:bookmarkStart w:id="226" w:name="_Toc463791891"/>
      <w:bookmarkStart w:id="227" w:name="_Toc464041439"/>
      <w:bookmarkStart w:id="228" w:name="_Toc465524026"/>
      <w:bookmarkStart w:id="229" w:name="_Toc465605521"/>
      <w:bookmarkStart w:id="230" w:name="_Toc465605801"/>
      <w:bookmarkStart w:id="231" w:name="_Toc479517105"/>
      <w:bookmarkStart w:id="232" w:name="_Toc479517320"/>
      <w:bookmarkStart w:id="233" w:name="_Toc479517379"/>
      <w:bookmarkStart w:id="234" w:name="_Toc490925516"/>
      <w:bookmarkStart w:id="235" w:name="_Toc494552465"/>
      <w:r>
        <w:rPr>
          <w:rFonts w:hint="eastAsia"/>
        </w:rPr>
        <w:t>参</w:t>
      </w:r>
      <w:r>
        <w:rPr>
          <w:rFonts w:hint="eastAsia" w:ascii="MS Mincho" w:hAnsi="MS Mincho" w:eastAsia="MS Mincho" w:cs="MS Mincho"/>
        </w:rPr>
        <w:t> </w:t>
      </w:r>
      <w:r>
        <w:rPr>
          <w:rFonts w:hint="eastAsia"/>
        </w:rPr>
        <w:t>考</w:t>
      </w:r>
      <w:r>
        <w:rPr>
          <w:rFonts w:hint="eastAsia" w:ascii="MS Mincho" w:hAnsi="MS Mincho" w:eastAsia="MS Mincho" w:cs="MS Mincho"/>
        </w:rPr>
        <w:t> </w:t>
      </w:r>
      <w:r>
        <w:rPr>
          <w:rFonts w:hint="eastAsia"/>
        </w:rPr>
        <w:t>文</w:t>
      </w:r>
      <w:r>
        <w:rPr>
          <w:rFonts w:hint="eastAsia" w:ascii="MS Mincho" w:hAnsi="MS Mincho" w:eastAsia="MS Mincho" w:cs="MS Mincho"/>
        </w:rPr>
        <w:t> </w:t>
      </w:r>
      <w:r>
        <w:rPr>
          <w:rFonts w:hint="eastAsia"/>
        </w:rPr>
        <w:t>献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>
      <w:pPr>
        <w:rPr>
          <w:rFonts w:ascii="宋体" w:hAnsi="宋体"/>
          <w:color w:val="000000"/>
          <w:szCs w:val="21"/>
        </w:rPr>
      </w:pPr>
      <w:bookmarkStart w:id="236" w:name="_Toc463784002"/>
      <w:bookmarkStart w:id="237" w:name="_Toc463784385"/>
      <w:bookmarkStart w:id="238" w:name="_Toc463791892"/>
      <w:bookmarkStart w:id="239" w:name="_Toc464041440"/>
      <w:bookmarkStart w:id="240" w:name="_Toc465524027"/>
      <w:bookmarkStart w:id="241" w:name="_Toc465605522"/>
      <w:bookmarkStart w:id="242" w:name="_Toc465605802"/>
      <w:r>
        <w:rPr>
          <w:rFonts w:hint="eastAsia" w:ascii="宋体" w:hAnsi="宋体"/>
          <w:color w:val="000000"/>
          <w:szCs w:val="21"/>
        </w:rPr>
        <w:t>[1] GB/T1.1-2009 标准化工作导则 第1部分：标准的结构和编写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[2] GB/T 15624-2011 服务标准化工作指南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[3] GB 18218-2009 危险化学品重大危险源辨识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[4] GB/T 20000.1-2014 标准化工作指南 第1部分：标准化和相关活动的通用术语</w:t>
      </w:r>
    </w:p>
    <w:p>
      <w:pPr>
        <w:pStyle w:val="67"/>
        <w:ind w:firstLine="0" w:firstLineChars="0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[5] GB/T 20000.3-2014 标准化工作指南 第3部分 引用文件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[6] GB/T 20001.1-2001 标准编写规则 第1部分 术语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[7] GA 1131-2014 仓储场所消防安全管理通则</w:t>
      </w:r>
    </w:p>
    <w:p>
      <w:pPr>
        <w:rPr>
          <w:rFonts w:ascii="宋体" w:hAnsi="宋体"/>
          <w:color w:val="000000"/>
          <w:szCs w:val="21"/>
        </w:rPr>
      </w:pPr>
      <w:bookmarkStart w:id="243" w:name="_Toc479517321"/>
      <w:bookmarkStart w:id="244" w:name="_Toc479517380"/>
      <w:bookmarkStart w:id="245" w:name="_Toc479517106"/>
      <w:r>
        <w:rPr>
          <w:rFonts w:hint="eastAsia" w:ascii="宋体" w:hAnsi="宋体"/>
          <w:color w:val="000000"/>
          <w:szCs w:val="21"/>
        </w:rPr>
        <w:t>[8] WB/T 1027-2006 仓储劳动安全管理要求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p>
      <w:pPr>
        <w:pStyle w:val="186"/>
      </w:pPr>
      <w:r>
        <w:t>_________________________________</w:t>
      </w:r>
    </w:p>
    <w:sectPr>
      <w:headerReference r:id="rId5" w:type="default"/>
      <w:footerReference r:id="rId6" w:type="default"/>
      <w:pgSz w:w="11906" w:h="16838"/>
      <w:pgMar w:top="567" w:right="1134" w:bottom="1134" w:left="1417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5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0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6"/>
    </w:pPr>
    <w:r>
      <w:t>GH/T XXXXX—XXXX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1"/>
    </w:pPr>
    <w:r>
      <w:t>GH/T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9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8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7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8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6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2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4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79102AD"/>
    <w:multiLevelType w:val="multilevel"/>
    <w:tmpl w:val="079102AD"/>
    <w:lvl w:ilvl="0" w:tentative="0">
      <w:start w:val="1"/>
      <w:numFmt w:val="decimal"/>
      <w:pStyle w:val="115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1">
    <w:nsid w:val="093C6778"/>
    <w:multiLevelType w:val="multilevel"/>
    <w:tmpl w:val="093C6778"/>
    <w:lvl w:ilvl="0" w:tentative="0">
      <w:start w:val="1"/>
      <w:numFmt w:val="decimal"/>
      <w:pStyle w:val="173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0AE367E9"/>
    <w:multiLevelType w:val="multilevel"/>
    <w:tmpl w:val="0AE367E9"/>
    <w:lvl w:ilvl="0" w:tentative="0">
      <w:start w:val="1"/>
      <w:numFmt w:val="none"/>
      <w:pStyle w:val="10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3">
    <w:nsid w:val="0DDE2B46"/>
    <w:multiLevelType w:val="multilevel"/>
    <w:tmpl w:val="0DDE2B46"/>
    <w:lvl w:ilvl="0" w:tentative="0">
      <w:start w:val="1"/>
      <w:numFmt w:val="lowerLetter"/>
      <w:pStyle w:val="178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14">
    <w:nsid w:val="1DBF583A"/>
    <w:multiLevelType w:val="multilevel"/>
    <w:tmpl w:val="1DBF583A"/>
    <w:lvl w:ilvl="0" w:tentative="0">
      <w:start w:val="1"/>
      <w:numFmt w:val="decimal"/>
      <w:pStyle w:val="12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5">
    <w:nsid w:val="1FC91163"/>
    <w:multiLevelType w:val="multilevel"/>
    <w:tmpl w:val="1FC91163"/>
    <w:lvl w:ilvl="0" w:tentative="0">
      <w:start w:val="1"/>
      <w:numFmt w:val="decimal"/>
      <w:pStyle w:val="10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99"/>
      <w:suff w:val="nothing"/>
      <w:lvlText w:val="%1.%2　"/>
      <w:lvlJc w:val="left"/>
      <w:pPr>
        <w:ind w:left="141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03"/>
      <w:suff w:val="nothing"/>
      <w:lvlText w:val="%1.%2.%3　"/>
      <w:lvlJc w:val="left"/>
      <w:pPr>
        <w:ind w:left="1702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0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0D0D0D"/>
        <w:sz w:val="21"/>
      </w:rPr>
    </w:lvl>
    <w:lvl w:ilvl="4" w:tentative="0">
      <w:start w:val="1"/>
      <w:numFmt w:val="decimal"/>
      <w:pStyle w:val="11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2A8F7113"/>
    <w:multiLevelType w:val="multilevel"/>
    <w:tmpl w:val="2A8F7113"/>
    <w:lvl w:ilvl="0" w:tentative="0">
      <w:start w:val="1"/>
      <w:numFmt w:val="upperLetter"/>
      <w:pStyle w:val="15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5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7">
    <w:nsid w:val="2C5917C3"/>
    <w:multiLevelType w:val="multilevel"/>
    <w:tmpl w:val="2C5917C3"/>
    <w:lvl w:ilvl="0" w:tentative="0">
      <w:start w:val="1"/>
      <w:numFmt w:val="none"/>
      <w:pStyle w:val="10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10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11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8">
    <w:nsid w:val="3D733618"/>
    <w:multiLevelType w:val="multilevel"/>
    <w:tmpl w:val="3D733618"/>
    <w:lvl w:ilvl="0" w:tentative="0">
      <w:start w:val="1"/>
      <w:numFmt w:val="decimal"/>
      <w:pStyle w:val="71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9">
    <w:nsid w:val="44C50F90"/>
    <w:multiLevelType w:val="multilevel"/>
    <w:tmpl w:val="44C50F90"/>
    <w:lvl w:ilvl="0" w:tentative="0">
      <w:start w:val="1"/>
      <w:numFmt w:val="lowerLetter"/>
      <w:pStyle w:val="116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59"/>
        </w:tabs>
        <w:ind w:left="1259" w:hanging="420"/>
      </w:pPr>
      <w:rPr>
        <w:rFonts w:hint="eastAsia" w:ascii="宋体" w:hAnsi="宋体" w:eastAsia="宋体"/>
        <w:b w:val="0"/>
        <w:i w:val="0"/>
        <w:sz w:val="20"/>
      </w:rPr>
    </w:lvl>
    <w:lvl w:ilvl="2" w:tentative="0">
      <w:start w:val="1"/>
      <w:numFmt w:val="decimal"/>
      <w:pStyle w:val="118"/>
      <w:lvlText w:val="(%3)"/>
      <w:lvlJc w:val="left"/>
      <w:pPr>
        <w:tabs>
          <w:tab w:val="left" w:pos="0"/>
        </w:tabs>
        <w:ind w:left="1678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20">
    <w:nsid w:val="4B733A5F"/>
    <w:multiLevelType w:val="multilevel"/>
    <w:tmpl w:val="4B733A5F"/>
    <w:lvl w:ilvl="0" w:tentative="0">
      <w:start w:val="1"/>
      <w:numFmt w:val="decimal"/>
      <w:pStyle w:val="119"/>
      <w:suff w:val="nothing"/>
      <w:lvlText w:val="示例%1："/>
      <w:lvlJc w:val="left"/>
      <w:pPr>
        <w:ind w:left="0" w:firstLine="363"/>
      </w:pPr>
      <w:rPr>
        <w:rFonts w:hint="eastAsia" w:ascii="黑体" w:hAns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21">
    <w:nsid w:val="557C2AF5"/>
    <w:multiLevelType w:val="multilevel"/>
    <w:tmpl w:val="557C2AF5"/>
    <w:lvl w:ilvl="0" w:tentative="0">
      <w:start w:val="1"/>
      <w:numFmt w:val="decimal"/>
      <w:pStyle w:val="185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2">
    <w:nsid w:val="60B55DC2"/>
    <w:multiLevelType w:val="multilevel"/>
    <w:tmpl w:val="60B55DC2"/>
    <w:lvl w:ilvl="0" w:tentative="0">
      <w:start w:val="1"/>
      <w:numFmt w:val="upperLetter"/>
      <w:pStyle w:val="14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14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23">
    <w:nsid w:val="646260FA"/>
    <w:multiLevelType w:val="multilevel"/>
    <w:tmpl w:val="646260FA"/>
    <w:lvl w:ilvl="0" w:tentative="0">
      <w:start w:val="1"/>
      <w:numFmt w:val="decimal"/>
      <w:pStyle w:val="183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14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5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6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4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5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5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5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D6C07CD"/>
    <w:multiLevelType w:val="multilevel"/>
    <w:tmpl w:val="6D6C07CD"/>
    <w:lvl w:ilvl="0" w:tentative="0">
      <w:start w:val="1"/>
      <w:numFmt w:val="lowerLetter"/>
      <w:pStyle w:val="16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5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26">
    <w:nsid w:val="6DBF04F4"/>
    <w:multiLevelType w:val="multilevel"/>
    <w:tmpl w:val="6DBF04F4"/>
    <w:lvl w:ilvl="0" w:tentative="0">
      <w:start w:val="1"/>
      <w:numFmt w:val="none"/>
      <w:pStyle w:val="114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8"/>
  </w:num>
  <w:num w:numId="12">
    <w:abstractNumId w:val="15"/>
  </w:num>
  <w:num w:numId="13">
    <w:abstractNumId w:val="17"/>
  </w:num>
  <w:num w:numId="14">
    <w:abstractNumId w:val="12"/>
  </w:num>
  <w:num w:numId="15">
    <w:abstractNumId w:val="19"/>
  </w:num>
  <w:num w:numId="16">
    <w:abstractNumId w:val="26"/>
  </w:num>
  <w:num w:numId="17">
    <w:abstractNumId w:val="10"/>
  </w:num>
  <w:num w:numId="18">
    <w:abstractNumId w:val="20"/>
  </w:num>
  <w:num w:numId="19">
    <w:abstractNumId w:val="14"/>
  </w:num>
  <w:num w:numId="20">
    <w:abstractNumId w:val="24"/>
  </w:num>
  <w:num w:numId="21">
    <w:abstractNumId w:val="22"/>
  </w:num>
  <w:num w:numId="22">
    <w:abstractNumId w:val="25"/>
  </w:num>
  <w:num w:numId="23">
    <w:abstractNumId w:val="16"/>
  </w:num>
  <w:num w:numId="24">
    <w:abstractNumId w:val="11"/>
  </w:num>
  <w:num w:numId="25">
    <w:abstractNumId w:val="13"/>
  </w:num>
  <w:num w:numId="26">
    <w:abstractNumId w:val="23"/>
  </w:num>
  <w:num w:numId="27">
    <w:abstractNumId w:val="21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100000" w:hash="Kl/VcadGLBqSga18xbqKM7oRyXM=" w:salt="c5aLouvO9STZkSJGTPwjPA==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925"/>
    <w:rsid w:val="00000155"/>
    <w:rsid w:val="00000244"/>
    <w:rsid w:val="0000185F"/>
    <w:rsid w:val="00005635"/>
    <w:rsid w:val="0000586F"/>
    <w:rsid w:val="00013D86"/>
    <w:rsid w:val="00013E02"/>
    <w:rsid w:val="00015D4F"/>
    <w:rsid w:val="000205F5"/>
    <w:rsid w:val="0002143C"/>
    <w:rsid w:val="00023739"/>
    <w:rsid w:val="0002418A"/>
    <w:rsid w:val="00024849"/>
    <w:rsid w:val="00025A65"/>
    <w:rsid w:val="00025B85"/>
    <w:rsid w:val="0002660A"/>
    <w:rsid w:val="00026C31"/>
    <w:rsid w:val="00026D9A"/>
    <w:rsid w:val="00027280"/>
    <w:rsid w:val="000320A7"/>
    <w:rsid w:val="00033169"/>
    <w:rsid w:val="00034B85"/>
    <w:rsid w:val="0003505F"/>
    <w:rsid w:val="000352B8"/>
    <w:rsid w:val="00035925"/>
    <w:rsid w:val="000374FD"/>
    <w:rsid w:val="00041A25"/>
    <w:rsid w:val="0004422E"/>
    <w:rsid w:val="00050E83"/>
    <w:rsid w:val="0005241F"/>
    <w:rsid w:val="000547FD"/>
    <w:rsid w:val="000558E2"/>
    <w:rsid w:val="000578D2"/>
    <w:rsid w:val="00065F80"/>
    <w:rsid w:val="00067CDF"/>
    <w:rsid w:val="00070324"/>
    <w:rsid w:val="000708CB"/>
    <w:rsid w:val="00073269"/>
    <w:rsid w:val="00073C25"/>
    <w:rsid w:val="00073EAF"/>
    <w:rsid w:val="00074FBE"/>
    <w:rsid w:val="000761E7"/>
    <w:rsid w:val="00077B25"/>
    <w:rsid w:val="00080CE9"/>
    <w:rsid w:val="000828F8"/>
    <w:rsid w:val="00083A09"/>
    <w:rsid w:val="00084085"/>
    <w:rsid w:val="000869D0"/>
    <w:rsid w:val="0009005E"/>
    <w:rsid w:val="00090B4C"/>
    <w:rsid w:val="00092857"/>
    <w:rsid w:val="000A20A9"/>
    <w:rsid w:val="000A48B1"/>
    <w:rsid w:val="000B28C7"/>
    <w:rsid w:val="000B3143"/>
    <w:rsid w:val="000B4B7C"/>
    <w:rsid w:val="000B529C"/>
    <w:rsid w:val="000B5890"/>
    <w:rsid w:val="000B6EFB"/>
    <w:rsid w:val="000B78C4"/>
    <w:rsid w:val="000C2588"/>
    <w:rsid w:val="000C6B05"/>
    <w:rsid w:val="000C6DD6"/>
    <w:rsid w:val="000C73D4"/>
    <w:rsid w:val="000D3D4C"/>
    <w:rsid w:val="000D3E19"/>
    <w:rsid w:val="000D4F51"/>
    <w:rsid w:val="000D6A9A"/>
    <w:rsid w:val="000D718B"/>
    <w:rsid w:val="000E0C46"/>
    <w:rsid w:val="000E7A26"/>
    <w:rsid w:val="000E7CBD"/>
    <w:rsid w:val="000E7E65"/>
    <w:rsid w:val="000F030C"/>
    <w:rsid w:val="000F129C"/>
    <w:rsid w:val="000F3BE2"/>
    <w:rsid w:val="000F48BA"/>
    <w:rsid w:val="0010558F"/>
    <w:rsid w:val="001056DE"/>
    <w:rsid w:val="00111600"/>
    <w:rsid w:val="001124C0"/>
    <w:rsid w:val="00113905"/>
    <w:rsid w:val="00117FC4"/>
    <w:rsid w:val="00126363"/>
    <w:rsid w:val="00130ACD"/>
    <w:rsid w:val="0013175F"/>
    <w:rsid w:val="00132D50"/>
    <w:rsid w:val="00137D9B"/>
    <w:rsid w:val="00142718"/>
    <w:rsid w:val="00142E91"/>
    <w:rsid w:val="001474E5"/>
    <w:rsid w:val="00147936"/>
    <w:rsid w:val="001512B4"/>
    <w:rsid w:val="00153DE9"/>
    <w:rsid w:val="001548C9"/>
    <w:rsid w:val="00154FB7"/>
    <w:rsid w:val="001569D9"/>
    <w:rsid w:val="001620A5"/>
    <w:rsid w:val="00164E53"/>
    <w:rsid w:val="0016699D"/>
    <w:rsid w:val="00170611"/>
    <w:rsid w:val="0017442F"/>
    <w:rsid w:val="00175159"/>
    <w:rsid w:val="0017609E"/>
    <w:rsid w:val="00176208"/>
    <w:rsid w:val="00180151"/>
    <w:rsid w:val="00180803"/>
    <w:rsid w:val="00181722"/>
    <w:rsid w:val="0018211B"/>
    <w:rsid w:val="0018375A"/>
    <w:rsid w:val="001840D3"/>
    <w:rsid w:val="00186371"/>
    <w:rsid w:val="001900F8"/>
    <w:rsid w:val="00191258"/>
    <w:rsid w:val="0019184C"/>
    <w:rsid w:val="00192680"/>
    <w:rsid w:val="00193037"/>
    <w:rsid w:val="00193A2C"/>
    <w:rsid w:val="001951D4"/>
    <w:rsid w:val="0019546B"/>
    <w:rsid w:val="001A1420"/>
    <w:rsid w:val="001A288E"/>
    <w:rsid w:val="001A3BF0"/>
    <w:rsid w:val="001A3D38"/>
    <w:rsid w:val="001A77C0"/>
    <w:rsid w:val="001B0B84"/>
    <w:rsid w:val="001B1151"/>
    <w:rsid w:val="001B2058"/>
    <w:rsid w:val="001B6723"/>
    <w:rsid w:val="001B6DC2"/>
    <w:rsid w:val="001B7F1D"/>
    <w:rsid w:val="001C149C"/>
    <w:rsid w:val="001C21AC"/>
    <w:rsid w:val="001C21EB"/>
    <w:rsid w:val="001C47BA"/>
    <w:rsid w:val="001C537E"/>
    <w:rsid w:val="001C59EA"/>
    <w:rsid w:val="001D1292"/>
    <w:rsid w:val="001D406C"/>
    <w:rsid w:val="001D41EE"/>
    <w:rsid w:val="001E0380"/>
    <w:rsid w:val="001E13B1"/>
    <w:rsid w:val="001E2D89"/>
    <w:rsid w:val="001E78BF"/>
    <w:rsid w:val="001F16B3"/>
    <w:rsid w:val="001F3A19"/>
    <w:rsid w:val="001F5A23"/>
    <w:rsid w:val="002012FB"/>
    <w:rsid w:val="00202809"/>
    <w:rsid w:val="00202B2B"/>
    <w:rsid w:val="0020350C"/>
    <w:rsid w:val="00204943"/>
    <w:rsid w:val="00220A08"/>
    <w:rsid w:val="00223DC0"/>
    <w:rsid w:val="00225E1D"/>
    <w:rsid w:val="0022641A"/>
    <w:rsid w:val="00232975"/>
    <w:rsid w:val="00232F4D"/>
    <w:rsid w:val="00234467"/>
    <w:rsid w:val="00234EE2"/>
    <w:rsid w:val="002379C9"/>
    <w:rsid w:val="00237D8D"/>
    <w:rsid w:val="00241DA2"/>
    <w:rsid w:val="00242F21"/>
    <w:rsid w:val="002467BC"/>
    <w:rsid w:val="00247FEE"/>
    <w:rsid w:val="00250E7D"/>
    <w:rsid w:val="002565D5"/>
    <w:rsid w:val="00261857"/>
    <w:rsid w:val="00261FF4"/>
    <w:rsid w:val="002620EB"/>
    <w:rsid w:val="002622C0"/>
    <w:rsid w:val="00262497"/>
    <w:rsid w:val="00270EF7"/>
    <w:rsid w:val="00271183"/>
    <w:rsid w:val="00272356"/>
    <w:rsid w:val="00277099"/>
    <w:rsid w:val="002778AE"/>
    <w:rsid w:val="0028269A"/>
    <w:rsid w:val="00283590"/>
    <w:rsid w:val="0028498D"/>
    <w:rsid w:val="00286973"/>
    <w:rsid w:val="00291B08"/>
    <w:rsid w:val="00291D5E"/>
    <w:rsid w:val="00294381"/>
    <w:rsid w:val="00294E70"/>
    <w:rsid w:val="002A1924"/>
    <w:rsid w:val="002A4ED0"/>
    <w:rsid w:val="002A7420"/>
    <w:rsid w:val="002B0F12"/>
    <w:rsid w:val="002B1308"/>
    <w:rsid w:val="002B4554"/>
    <w:rsid w:val="002B554A"/>
    <w:rsid w:val="002B7195"/>
    <w:rsid w:val="002B7A18"/>
    <w:rsid w:val="002C07BA"/>
    <w:rsid w:val="002C3739"/>
    <w:rsid w:val="002C72D8"/>
    <w:rsid w:val="002D11FA"/>
    <w:rsid w:val="002D38DE"/>
    <w:rsid w:val="002E0217"/>
    <w:rsid w:val="002E0DDF"/>
    <w:rsid w:val="002E1C66"/>
    <w:rsid w:val="002E2906"/>
    <w:rsid w:val="002E5635"/>
    <w:rsid w:val="002E64C3"/>
    <w:rsid w:val="002E6851"/>
    <w:rsid w:val="002E6A2C"/>
    <w:rsid w:val="002F0EF0"/>
    <w:rsid w:val="002F1432"/>
    <w:rsid w:val="002F1896"/>
    <w:rsid w:val="002F1D8C"/>
    <w:rsid w:val="002F1EEE"/>
    <w:rsid w:val="002F20C7"/>
    <w:rsid w:val="002F21DA"/>
    <w:rsid w:val="002F2867"/>
    <w:rsid w:val="002F6AE6"/>
    <w:rsid w:val="00301A8A"/>
    <w:rsid w:val="00301F39"/>
    <w:rsid w:val="00305BBD"/>
    <w:rsid w:val="0031300C"/>
    <w:rsid w:val="00313446"/>
    <w:rsid w:val="00325926"/>
    <w:rsid w:val="003262EB"/>
    <w:rsid w:val="00327A8A"/>
    <w:rsid w:val="00336610"/>
    <w:rsid w:val="00340CE7"/>
    <w:rsid w:val="0034212F"/>
    <w:rsid w:val="0034267D"/>
    <w:rsid w:val="00343F73"/>
    <w:rsid w:val="00344E1C"/>
    <w:rsid w:val="00345060"/>
    <w:rsid w:val="003451D6"/>
    <w:rsid w:val="00352801"/>
    <w:rsid w:val="0035323B"/>
    <w:rsid w:val="003560ED"/>
    <w:rsid w:val="0035764F"/>
    <w:rsid w:val="003609D2"/>
    <w:rsid w:val="00360CE5"/>
    <w:rsid w:val="00361923"/>
    <w:rsid w:val="00363819"/>
    <w:rsid w:val="00363F22"/>
    <w:rsid w:val="0037238A"/>
    <w:rsid w:val="00374A07"/>
    <w:rsid w:val="00375011"/>
    <w:rsid w:val="00375564"/>
    <w:rsid w:val="00377C15"/>
    <w:rsid w:val="00380B23"/>
    <w:rsid w:val="00383191"/>
    <w:rsid w:val="003836FD"/>
    <w:rsid w:val="00385C0A"/>
    <w:rsid w:val="00386DED"/>
    <w:rsid w:val="00390704"/>
    <w:rsid w:val="003910A2"/>
    <w:rsid w:val="003912E7"/>
    <w:rsid w:val="00391B90"/>
    <w:rsid w:val="00393947"/>
    <w:rsid w:val="00393C86"/>
    <w:rsid w:val="00395C11"/>
    <w:rsid w:val="003965BA"/>
    <w:rsid w:val="003A2275"/>
    <w:rsid w:val="003A6A4F"/>
    <w:rsid w:val="003A6BD7"/>
    <w:rsid w:val="003A7088"/>
    <w:rsid w:val="003B00DF"/>
    <w:rsid w:val="003B1275"/>
    <w:rsid w:val="003B1778"/>
    <w:rsid w:val="003B5410"/>
    <w:rsid w:val="003B5AAF"/>
    <w:rsid w:val="003B643D"/>
    <w:rsid w:val="003B65B4"/>
    <w:rsid w:val="003C11CB"/>
    <w:rsid w:val="003C30A8"/>
    <w:rsid w:val="003C75F3"/>
    <w:rsid w:val="003C78A3"/>
    <w:rsid w:val="003D1BCF"/>
    <w:rsid w:val="003D6DC8"/>
    <w:rsid w:val="003E1867"/>
    <w:rsid w:val="003E5729"/>
    <w:rsid w:val="003E602B"/>
    <w:rsid w:val="003E6D26"/>
    <w:rsid w:val="003F2A19"/>
    <w:rsid w:val="003F4EE0"/>
    <w:rsid w:val="00400358"/>
    <w:rsid w:val="00400978"/>
    <w:rsid w:val="00402153"/>
    <w:rsid w:val="00402FC1"/>
    <w:rsid w:val="00405852"/>
    <w:rsid w:val="00413E2E"/>
    <w:rsid w:val="0042504B"/>
    <w:rsid w:val="00425082"/>
    <w:rsid w:val="00425825"/>
    <w:rsid w:val="00426D27"/>
    <w:rsid w:val="00426DB1"/>
    <w:rsid w:val="00431DEB"/>
    <w:rsid w:val="00434146"/>
    <w:rsid w:val="004342C0"/>
    <w:rsid w:val="004368F9"/>
    <w:rsid w:val="00437E4A"/>
    <w:rsid w:val="0044373B"/>
    <w:rsid w:val="00444C89"/>
    <w:rsid w:val="00446726"/>
    <w:rsid w:val="00446B29"/>
    <w:rsid w:val="00447BB3"/>
    <w:rsid w:val="00450930"/>
    <w:rsid w:val="0045132F"/>
    <w:rsid w:val="0045233E"/>
    <w:rsid w:val="00453F9A"/>
    <w:rsid w:val="00454D16"/>
    <w:rsid w:val="00455206"/>
    <w:rsid w:val="004606B0"/>
    <w:rsid w:val="004657D1"/>
    <w:rsid w:val="00466719"/>
    <w:rsid w:val="00470D1B"/>
    <w:rsid w:val="00471E91"/>
    <w:rsid w:val="00471F34"/>
    <w:rsid w:val="00473B84"/>
    <w:rsid w:val="00474675"/>
    <w:rsid w:val="0047470C"/>
    <w:rsid w:val="00477A9D"/>
    <w:rsid w:val="0048045C"/>
    <w:rsid w:val="00487EF1"/>
    <w:rsid w:val="00496A61"/>
    <w:rsid w:val="00497F95"/>
    <w:rsid w:val="004A19D0"/>
    <w:rsid w:val="004A35F9"/>
    <w:rsid w:val="004A4803"/>
    <w:rsid w:val="004B0DF8"/>
    <w:rsid w:val="004B24C1"/>
    <w:rsid w:val="004B2FBA"/>
    <w:rsid w:val="004B3BC2"/>
    <w:rsid w:val="004B49AF"/>
    <w:rsid w:val="004C1C0F"/>
    <w:rsid w:val="004C292F"/>
    <w:rsid w:val="004C4AF1"/>
    <w:rsid w:val="004C59C5"/>
    <w:rsid w:val="004C79FD"/>
    <w:rsid w:val="004C7BA4"/>
    <w:rsid w:val="004D2763"/>
    <w:rsid w:val="004D3E2A"/>
    <w:rsid w:val="004D56C6"/>
    <w:rsid w:val="004E1A38"/>
    <w:rsid w:val="004E531A"/>
    <w:rsid w:val="004E53FE"/>
    <w:rsid w:val="004E5585"/>
    <w:rsid w:val="004E7314"/>
    <w:rsid w:val="004F0DAF"/>
    <w:rsid w:val="004F0FF4"/>
    <w:rsid w:val="004F2D2C"/>
    <w:rsid w:val="004F335C"/>
    <w:rsid w:val="005054BF"/>
    <w:rsid w:val="00507925"/>
    <w:rsid w:val="00510280"/>
    <w:rsid w:val="00513D73"/>
    <w:rsid w:val="00514A43"/>
    <w:rsid w:val="005174E5"/>
    <w:rsid w:val="00522393"/>
    <w:rsid w:val="00522620"/>
    <w:rsid w:val="00522980"/>
    <w:rsid w:val="00522E91"/>
    <w:rsid w:val="00525656"/>
    <w:rsid w:val="00532F47"/>
    <w:rsid w:val="00533F69"/>
    <w:rsid w:val="005343DE"/>
    <w:rsid w:val="00534C02"/>
    <w:rsid w:val="005364FA"/>
    <w:rsid w:val="00536934"/>
    <w:rsid w:val="00536A37"/>
    <w:rsid w:val="00542093"/>
    <w:rsid w:val="005424A6"/>
    <w:rsid w:val="0054264B"/>
    <w:rsid w:val="00543786"/>
    <w:rsid w:val="00543C17"/>
    <w:rsid w:val="00544CC3"/>
    <w:rsid w:val="00545601"/>
    <w:rsid w:val="00547C6D"/>
    <w:rsid w:val="00551520"/>
    <w:rsid w:val="005523B4"/>
    <w:rsid w:val="005533D7"/>
    <w:rsid w:val="00554703"/>
    <w:rsid w:val="0055480A"/>
    <w:rsid w:val="00554C82"/>
    <w:rsid w:val="00555A1A"/>
    <w:rsid w:val="00555B0B"/>
    <w:rsid w:val="00561865"/>
    <w:rsid w:val="00561B27"/>
    <w:rsid w:val="00565737"/>
    <w:rsid w:val="00567A1F"/>
    <w:rsid w:val="005703DE"/>
    <w:rsid w:val="00573AE9"/>
    <w:rsid w:val="00575738"/>
    <w:rsid w:val="00575CBC"/>
    <w:rsid w:val="005776E0"/>
    <w:rsid w:val="00582A5B"/>
    <w:rsid w:val="0058464E"/>
    <w:rsid w:val="00587891"/>
    <w:rsid w:val="00593041"/>
    <w:rsid w:val="0059485E"/>
    <w:rsid w:val="00595066"/>
    <w:rsid w:val="005969B7"/>
    <w:rsid w:val="00596D9E"/>
    <w:rsid w:val="005A01CB"/>
    <w:rsid w:val="005A35BB"/>
    <w:rsid w:val="005A36FB"/>
    <w:rsid w:val="005A58FF"/>
    <w:rsid w:val="005A5EAF"/>
    <w:rsid w:val="005A610D"/>
    <w:rsid w:val="005A64C0"/>
    <w:rsid w:val="005A72B0"/>
    <w:rsid w:val="005B3C11"/>
    <w:rsid w:val="005B4ADA"/>
    <w:rsid w:val="005B7B7D"/>
    <w:rsid w:val="005C1C28"/>
    <w:rsid w:val="005C5E28"/>
    <w:rsid w:val="005C6DB5"/>
    <w:rsid w:val="005D34AB"/>
    <w:rsid w:val="005D3A1F"/>
    <w:rsid w:val="005D76CD"/>
    <w:rsid w:val="005E09B5"/>
    <w:rsid w:val="005E19DC"/>
    <w:rsid w:val="005E19E7"/>
    <w:rsid w:val="005E26B0"/>
    <w:rsid w:val="005E27B7"/>
    <w:rsid w:val="005F6BF8"/>
    <w:rsid w:val="005F7A46"/>
    <w:rsid w:val="00602B86"/>
    <w:rsid w:val="00611A40"/>
    <w:rsid w:val="00611BB8"/>
    <w:rsid w:val="0061254A"/>
    <w:rsid w:val="0061716C"/>
    <w:rsid w:val="00622CC9"/>
    <w:rsid w:val="006232B4"/>
    <w:rsid w:val="006243A1"/>
    <w:rsid w:val="00625711"/>
    <w:rsid w:val="00625F14"/>
    <w:rsid w:val="0063239D"/>
    <w:rsid w:val="00632E56"/>
    <w:rsid w:val="00635CBA"/>
    <w:rsid w:val="00636B27"/>
    <w:rsid w:val="00636BE4"/>
    <w:rsid w:val="00637CDD"/>
    <w:rsid w:val="0064206F"/>
    <w:rsid w:val="0064338B"/>
    <w:rsid w:val="006442DD"/>
    <w:rsid w:val="00645AD0"/>
    <w:rsid w:val="00646542"/>
    <w:rsid w:val="006466F7"/>
    <w:rsid w:val="0064694C"/>
    <w:rsid w:val="006504F4"/>
    <w:rsid w:val="0065084A"/>
    <w:rsid w:val="00652453"/>
    <w:rsid w:val="00654BC9"/>
    <w:rsid w:val="006552FD"/>
    <w:rsid w:val="006557EE"/>
    <w:rsid w:val="006577C9"/>
    <w:rsid w:val="00662FC0"/>
    <w:rsid w:val="00663AF3"/>
    <w:rsid w:val="00666B6C"/>
    <w:rsid w:val="00674637"/>
    <w:rsid w:val="00675CE4"/>
    <w:rsid w:val="0067785B"/>
    <w:rsid w:val="00681714"/>
    <w:rsid w:val="00682682"/>
    <w:rsid w:val="00682702"/>
    <w:rsid w:val="0068567D"/>
    <w:rsid w:val="00692368"/>
    <w:rsid w:val="00695A1A"/>
    <w:rsid w:val="006A178C"/>
    <w:rsid w:val="006A2A91"/>
    <w:rsid w:val="006A2EBC"/>
    <w:rsid w:val="006A3917"/>
    <w:rsid w:val="006A4551"/>
    <w:rsid w:val="006A5EA0"/>
    <w:rsid w:val="006A6332"/>
    <w:rsid w:val="006A783B"/>
    <w:rsid w:val="006A7B33"/>
    <w:rsid w:val="006B4E13"/>
    <w:rsid w:val="006B6018"/>
    <w:rsid w:val="006B6297"/>
    <w:rsid w:val="006B75DD"/>
    <w:rsid w:val="006C0E6B"/>
    <w:rsid w:val="006C67E0"/>
    <w:rsid w:val="006C78D4"/>
    <w:rsid w:val="006C7ABA"/>
    <w:rsid w:val="006D0D60"/>
    <w:rsid w:val="006D1122"/>
    <w:rsid w:val="006D3C00"/>
    <w:rsid w:val="006D447F"/>
    <w:rsid w:val="006D6DA1"/>
    <w:rsid w:val="006D7C02"/>
    <w:rsid w:val="006E3675"/>
    <w:rsid w:val="006E4041"/>
    <w:rsid w:val="006E4A7F"/>
    <w:rsid w:val="006E65A7"/>
    <w:rsid w:val="006E7303"/>
    <w:rsid w:val="006F04AC"/>
    <w:rsid w:val="006F0604"/>
    <w:rsid w:val="006F150E"/>
    <w:rsid w:val="006F4540"/>
    <w:rsid w:val="006F59E8"/>
    <w:rsid w:val="007018B9"/>
    <w:rsid w:val="00701B46"/>
    <w:rsid w:val="00702D71"/>
    <w:rsid w:val="00704DF6"/>
    <w:rsid w:val="0070651C"/>
    <w:rsid w:val="00711843"/>
    <w:rsid w:val="007119E0"/>
    <w:rsid w:val="007132A3"/>
    <w:rsid w:val="00713DAE"/>
    <w:rsid w:val="00716421"/>
    <w:rsid w:val="007169D6"/>
    <w:rsid w:val="00716FE1"/>
    <w:rsid w:val="007221B5"/>
    <w:rsid w:val="00722BF2"/>
    <w:rsid w:val="0072396D"/>
    <w:rsid w:val="00724EFB"/>
    <w:rsid w:val="00727073"/>
    <w:rsid w:val="0073136C"/>
    <w:rsid w:val="007314C6"/>
    <w:rsid w:val="00734A5B"/>
    <w:rsid w:val="00734B0C"/>
    <w:rsid w:val="00735537"/>
    <w:rsid w:val="00737DAC"/>
    <w:rsid w:val="00740218"/>
    <w:rsid w:val="007419C3"/>
    <w:rsid w:val="007467A7"/>
    <w:rsid w:val="007469DD"/>
    <w:rsid w:val="0074741B"/>
    <w:rsid w:val="0074759E"/>
    <w:rsid w:val="007478EA"/>
    <w:rsid w:val="0075415C"/>
    <w:rsid w:val="00754DEC"/>
    <w:rsid w:val="00756969"/>
    <w:rsid w:val="00757FBC"/>
    <w:rsid w:val="00760A28"/>
    <w:rsid w:val="00761728"/>
    <w:rsid w:val="00763502"/>
    <w:rsid w:val="00763713"/>
    <w:rsid w:val="00763B8E"/>
    <w:rsid w:val="007700F6"/>
    <w:rsid w:val="00772A0B"/>
    <w:rsid w:val="00772CC0"/>
    <w:rsid w:val="007734A7"/>
    <w:rsid w:val="00774D1D"/>
    <w:rsid w:val="0077506B"/>
    <w:rsid w:val="00776C4B"/>
    <w:rsid w:val="0078313A"/>
    <w:rsid w:val="00790AB2"/>
    <w:rsid w:val="007913AB"/>
    <w:rsid w:val="007914F7"/>
    <w:rsid w:val="007A4095"/>
    <w:rsid w:val="007A5348"/>
    <w:rsid w:val="007B02DC"/>
    <w:rsid w:val="007B1625"/>
    <w:rsid w:val="007B31AA"/>
    <w:rsid w:val="007B45B0"/>
    <w:rsid w:val="007B7051"/>
    <w:rsid w:val="007B706E"/>
    <w:rsid w:val="007B71EB"/>
    <w:rsid w:val="007B777E"/>
    <w:rsid w:val="007C1D16"/>
    <w:rsid w:val="007C2AB9"/>
    <w:rsid w:val="007C564D"/>
    <w:rsid w:val="007C6205"/>
    <w:rsid w:val="007C62A6"/>
    <w:rsid w:val="007C686A"/>
    <w:rsid w:val="007C728E"/>
    <w:rsid w:val="007C7E13"/>
    <w:rsid w:val="007D097D"/>
    <w:rsid w:val="007D0C64"/>
    <w:rsid w:val="007D2C53"/>
    <w:rsid w:val="007D3D60"/>
    <w:rsid w:val="007D45DF"/>
    <w:rsid w:val="007D603C"/>
    <w:rsid w:val="007D7BDE"/>
    <w:rsid w:val="007E0999"/>
    <w:rsid w:val="007E1980"/>
    <w:rsid w:val="007E3C24"/>
    <w:rsid w:val="007E4B76"/>
    <w:rsid w:val="007E5831"/>
    <w:rsid w:val="007E5EA8"/>
    <w:rsid w:val="007E6D02"/>
    <w:rsid w:val="007F0CF1"/>
    <w:rsid w:val="007F12A5"/>
    <w:rsid w:val="007F3165"/>
    <w:rsid w:val="007F4CF1"/>
    <w:rsid w:val="007F5951"/>
    <w:rsid w:val="007F758D"/>
    <w:rsid w:val="007F7989"/>
    <w:rsid w:val="007F7D52"/>
    <w:rsid w:val="00801339"/>
    <w:rsid w:val="0080654C"/>
    <w:rsid w:val="00807111"/>
    <w:rsid w:val="008071C6"/>
    <w:rsid w:val="00807AC2"/>
    <w:rsid w:val="00811150"/>
    <w:rsid w:val="0081142E"/>
    <w:rsid w:val="00815389"/>
    <w:rsid w:val="00815DE6"/>
    <w:rsid w:val="00817A00"/>
    <w:rsid w:val="008216FA"/>
    <w:rsid w:val="00821E32"/>
    <w:rsid w:val="00822E79"/>
    <w:rsid w:val="00825BB6"/>
    <w:rsid w:val="00827270"/>
    <w:rsid w:val="00830352"/>
    <w:rsid w:val="00835DB3"/>
    <w:rsid w:val="0083617B"/>
    <w:rsid w:val="008371BD"/>
    <w:rsid w:val="00840B6C"/>
    <w:rsid w:val="00841EE7"/>
    <w:rsid w:val="008504A8"/>
    <w:rsid w:val="0085097D"/>
    <w:rsid w:val="00850DE7"/>
    <w:rsid w:val="0085282E"/>
    <w:rsid w:val="00852A94"/>
    <w:rsid w:val="00857F60"/>
    <w:rsid w:val="00864006"/>
    <w:rsid w:val="00864886"/>
    <w:rsid w:val="0087198C"/>
    <w:rsid w:val="00872A18"/>
    <w:rsid w:val="00872C1F"/>
    <w:rsid w:val="0087395A"/>
    <w:rsid w:val="008739E9"/>
    <w:rsid w:val="00873B42"/>
    <w:rsid w:val="00876C43"/>
    <w:rsid w:val="00880965"/>
    <w:rsid w:val="008856D8"/>
    <w:rsid w:val="00887613"/>
    <w:rsid w:val="00892BF1"/>
    <w:rsid w:val="00892E82"/>
    <w:rsid w:val="00897152"/>
    <w:rsid w:val="008975D9"/>
    <w:rsid w:val="008A03C4"/>
    <w:rsid w:val="008A6255"/>
    <w:rsid w:val="008B22A3"/>
    <w:rsid w:val="008B22BB"/>
    <w:rsid w:val="008B5206"/>
    <w:rsid w:val="008B755F"/>
    <w:rsid w:val="008C046D"/>
    <w:rsid w:val="008C1B58"/>
    <w:rsid w:val="008C1DE0"/>
    <w:rsid w:val="008C224B"/>
    <w:rsid w:val="008C39AE"/>
    <w:rsid w:val="008C590D"/>
    <w:rsid w:val="008C6DA8"/>
    <w:rsid w:val="008C765A"/>
    <w:rsid w:val="008D2AAF"/>
    <w:rsid w:val="008D3FF1"/>
    <w:rsid w:val="008D7E41"/>
    <w:rsid w:val="008E031B"/>
    <w:rsid w:val="008E2C73"/>
    <w:rsid w:val="008E2FE1"/>
    <w:rsid w:val="008E7029"/>
    <w:rsid w:val="008E7EF6"/>
    <w:rsid w:val="008F02F2"/>
    <w:rsid w:val="008F1F98"/>
    <w:rsid w:val="008F2A1B"/>
    <w:rsid w:val="008F4BF9"/>
    <w:rsid w:val="008F6758"/>
    <w:rsid w:val="009040DD"/>
    <w:rsid w:val="00905B47"/>
    <w:rsid w:val="00905F6F"/>
    <w:rsid w:val="00907120"/>
    <w:rsid w:val="00911FEF"/>
    <w:rsid w:val="0091331C"/>
    <w:rsid w:val="009159E4"/>
    <w:rsid w:val="009211BB"/>
    <w:rsid w:val="009234A4"/>
    <w:rsid w:val="00923E38"/>
    <w:rsid w:val="00924A7F"/>
    <w:rsid w:val="00924F36"/>
    <w:rsid w:val="0092504D"/>
    <w:rsid w:val="00925369"/>
    <w:rsid w:val="009279DE"/>
    <w:rsid w:val="00930116"/>
    <w:rsid w:val="009306E3"/>
    <w:rsid w:val="00934727"/>
    <w:rsid w:val="0093646B"/>
    <w:rsid w:val="00937B57"/>
    <w:rsid w:val="00940841"/>
    <w:rsid w:val="0094212C"/>
    <w:rsid w:val="0094536B"/>
    <w:rsid w:val="00954689"/>
    <w:rsid w:val="00954B0F"/>
    <w:rsid w:val="009617C9"/>
    <w:rsid w:val="00961C93"/>
    <w:rsid w:val="00962CB2"/>
    <w:rsid w:val="00963458"/>
    <w:rsid w:val="00965324"/>
    <w:rsid w:val="009654A1"/>
    <w:rsid w:val="00966838"/>
    <w:rsid w:val="0097091E"/>
    <w:rsid w:val="009760D3"/>
    <w:rsid w:val="00977132"/>
    <w:rsid w:val="00980C10"/>
    <w:rsid w:val="00980E12"/>
    <w:rsid w:val="00981A4B"/>
    <w:rsid w:val="00982501"/>
    <w:rsid w:val="009877D3"/>
    <w:rsid w:val="00987DA5"/>
    <w:rsid w:val="00990C67"/>
    <w:rsid w:val="00991A33"/>
    <w:rsid w:val="00992B4F"/>
    <w:rsid w:val="00994E8F"/>
    <w:rsid w:val="009951DC"/>
    <w:rsid w:val="00995211"/>
    <w:rsid w:val="009959BB"/>
    <w:rsid w:val="00997158"/>
    <w:rsid w:val="009A0A33"/>
    <w:rsid w:val="009A1F1A"/>
    <w:rsid w:val="009A3A7C"/>
    <w:rsid w:val="009B2ADB"/>
    <w:rsid w:val="009B603A"/>
    <w:rsid w:val="009C1641"/>
    <w:rsid w:val="009C1AFC"/>
    <w:rsid w:val="009C2D0E"/>
    <w:rsid w:val="009C3DAC"/>
    <w:rsid w:val="009C42E0"/>
    <w:rsid w:val="009C5155"/>
    <w:rsid w:val="009D1E13"/>
    <w:rsid w:val="009D51EC"/>
    <w:rsid w:val="009D5362"/>
    <w:rsid w:val="009D55C9"/>
    <w:rsid w:val="009D610E"/>
    <w:rsid w:val="009E1415"/>
    <w:rsid w:val="009E1976"/>
    <w:rsid w:val="009E6116"/>
    <w:rsid w:val="009E6239"/>
    <w:rsid w:val="009E7362"/>
    <w:rsid w:val="009F0E3B"/>
    <w:rsid w:val="009F1714"/>
    <w:rsid w:val="009F2EF9"/>
    <w:rsid w:val="009F5CE9"/>
    <w:rsid w:val="009F7EEB"/>
    <w:rsid w:val="00A00912"/>
    <w:rsid w:val="00A00BC0"/>
    <w:rsid w:val="00A02E43"/>
    <w:rsid w:val="00A065F9"/>
    <w:rsid w:val="00A07F34"/>
    <w:rsid w:val="00A119E1"/>
    <w:rsid w:val="00A12DB6"/>
    <w:rsid w:val="00A22154"/>
    <w:rsid w:val="00A2381D"/>
    <w:rsid w:val="00A25C38"/>
    <w:rsid w:val="00A25C4F"/>
    <w:rsid w:val="00A31B81"/>
    <w:rsid w:val="00A3446D"/>
    <w:rsid w:val="00A3630C"/>
    <w:rsid w:val="00A3633B"/>
    <w:rsid w:val="00A36BBE"/>
    <w:rsid w:val="00A37EB1"/>
    <w:rsid w:val="00A4307A"/>
    <w:rsid w:val="00A458A8"/>
    <w:rsid w:val="00A46E43"/>
    <w:rsid w:val="00A47EBB"/>
    <w:rsid w:val="00A51CDD"/>
    <w:rsid w:val="00A53FBA"/>
    <w:rsid w:val="00A54F4C"/>
    <w:rsid w:val="00A56A57"/>
    <w:rsid w:val="00A633FE"/>
    <w:rsid w:val="00A65DA5"/>
    <w:rsid w:val="00A6730D"/>
    <w:rsid w:val="00A679A2"/>
    <w:rsid w:val="00A67A1E"/>
    <w:rsid w:val="00A71625"/>
    <w:rsid w:val="00A7171C"/>
    <w:rsid w:val="00A71B9B"/>
    <w:rsid w:val="00A751C7"/>
    <w:rsid w:val="00A77A96"/>
    <w:rsid w:val="00A8003D"/>
    <w:rsid w:val="00A87844"/>
    <w:rsid w:val="00A92980"/>
    <w:rsid w:val="00A936B8"/>
    <w:rsid w:val="00A9404F"/>
    <w:rsid w:val="00A9796F"/>
    <w:rsid w:val="00A97E39"/>
    <w:rsid w:val="00AA038C"/>
    <w:rsid w:val="00AA064F"/>
    <w:rsid w:val="00AA193F"/>
    <w:rsid w:val="00AA2191"/>
    <w:rsid w:val="00AA4501"/>
    <w:rsid w:val="00AA7215"/>
    <w:rsid w:val="00AA7364"/>
    <w:rsid w:val="00AA74C0"/>
    <w:rsid w:val="00AA77A3"/>
    <w:rsid w:val="00AA7A09"/>
    <w:rsid w:val="00AB210B"/>
    <w:rsid w:val="00AB3B50"/>
    <w:rsid w:val="00AB5926"/>
    <w:rsid w:val="00AC05B1"/>
    <w:rsid w:val="00AC6C78"/>
    <w:rsid w:val="00AD1837"/>
    <w:rsid w:val="00AD356C"/>
    <w:rsid w:val="00AD4A12"/>
    <w:rsid w:val="00AD4F8E"/>
    <w:rsid w:val="00AD73D9"/>
    <w:rsid w:val="00AE0703"/>
    <w:rsid w:val="00AE09EC"/>
    <w:rsid w:val="00AE1740"/>
    <w:rsid w:val="00AE2914"/>
    <w:rsid w:val="00AE6C9F"/>
    <w:rsid w:val="00AE6D15"/>
    <w:rsid w:val="00AF04C6"/>
    <w:rsid w:val="00AF30BE"/>
    <w:rsid w:val="00AF380A"/>
    <w:rsid w:val="00AF5D7C"/>
    <w:rsid w:val="00B008A7"/>
    <w:rsid w:val="00B04182"/>
    <w:rsid w:val="00B042E2"/>
    <w:rsid w:val="00B07485"/>
    <w:rsid w:val="00B07AE3"/>
    <w:rsid w:val="00B11430"/>
    <w:rsid w:val="00B140C9"/>
    <w:rsid w:val="00B14CB8"/>
    <w:rsid w:val="00B16FA2"/>
    <w:rsid w:val="00B17522"/>
    <w:rsid w:val="00B21412"/>
    <w:rsid w:val="00B24AD4"/>
    <w:rsid w:val="00B30105"/>
    <w:rsid w:val="00B313FA"/>
    <w:rsid w:val="00B322F4"/>
    <w:rsid w:val="00B32A94"/>
    <w:rsid w:val="00B34D1B"/>
    <w:rsid w:val="00B353EB"/>
    <w:rsid w:val="00B365FD"/>
    <w:rsid w:val="00B37954"/>
    <w:rsid w:val="00B37FCB"/>
    <w:rsid w:val="00B439C4"/>
    <w:rsid w:val="00B44D35"/>
    <w:rsid w:val="00B4535E"/>
    <w:rsid w:val="00B46551"/>
    <w:rsid w:val="00B47696"/>
    <w:rsid w:val="00B51605"/>
    <w:rsid w:val="00B5230E"/>
    <w:rsid w:val="00B52A8C"/>
    <w:rsid w:val="00B63315"/>
    <w:rsid w:val="00B636A8"/>
    <w:rsid w:val="00B63A84"/>
    <w:rsid w:val="00B63F69"/>
    <w:rsid w:val="00B65067"/>
    <w:rsid w:val="00B663FD"/>
    <w:rsid w:val="00B665C6"/>
    <w:rsid w:val="00B70CF7"/>
    <w:rsid w:val="00B7175D"/>
    <w:rsid w:val="00B7209F"/>
    <w:rsid w:val="00B734AC"/>
    <w:rsid w:val="00B76BEF"/>
    <w:rsid w:val="00B801A9"/>
    <w:rsid w:val="00B805AF"/>
    <w:rsid w:val="00B81BC0"/>
    <w:rsid w:val="00B8526D"/>
    <w:rsid w:val="00B869EC"/>
    <w:rsid w:val="00B90CE1"/>
    <w:rsid w:val="00B9168B"/>
    <w:rsid w:val="00B92629"/>
    <w:rsid w:val="00B9397A"/>
    <w:rsid w:val="00B9518D"/>
    <w:rsid w:val="00B9544B"/>
    <w:rsid w:val="00B9633D"/>
    <w:rsid w:val="00BA0781"/>
    <w:rsid w:val="00BA26BB"/>
    <w:rsid w:val="00BA2EBE"/>
    <w:rsid w:val="00BA3D30"/>
    <w:rsid w:val="00BA6EEC"/>
    <w:rsid w:val="00BB0F28"/>
    <w:rsid w:val="00BB458A"/>
    <w:rsid w:val="00BB47DF"/>
    <w:rsid w:val="00BC4D8F"/>
    <w:rsid w:val="00BC6ACF"/>
    <w:rsid w:val="00BD00D3"/>
    <w:rsid w:val="00BD09D4"/>
    <w:rsid w:val="00BD1659"/>
    <w:rsid w:val="00BD2113"/>
    <w:rsid w:val="00BD2692"/>
    <w:rsid w:val="00BD2A7E"/>
    <w:rsid w:val="00BD386E"/>
    <w:rsid w:val="00BD3AA9"/>
    <w:rsid w:val="00BD3C2D"/>
    <w:rsid w:val="00BD4A18"/>
    <w:rsid w:val="00BD6DB2"/>
    <w:rsid w:val="00BE04AA"/>
    <w:rsid w:val="00BE11CF"/>
    <w:rsid w:val="00BE21AB"/>
    <w:rsid w:val="00BE3426"/>
    <w:rsid w:val="00BE3D8E"/>
    <w:rsid w:val="00BE55CB"/>
    <w:rsid w:val="00BE5C1F"/>
    <w:rsid w:val="00BE7430"/>
    <w:rsid w:val="00BF5A6E"/>
    <w:rsid w:val="00BF617A"/>
    <w:rsid w:val="00BF63B4"/>
    <w:rsid w:val="00C00F7C"/>
    <w:rsid w:val="00C01429"/>
    <w:rsid w:val="00C0379D"/>
    <w:rsid w:val="00C03931"/>
    <w:rsid w:val="00C0563F"/>
    <w:rsid w:val="00C05FE3"/>
    <w:rsid w:val="00C06233"/>
    <w:rsid w:val="00C06C97"/>
    <w:rsid w:val="00C10455"/>
    <w:rsid w:val="00C125AB"/>
    <w:rsid w:val="00C1530E"/>
    <w:rsid w:val="00C17D78"/>
    <w:rsid w:val="00C20D99"/>
    <w:rsid w:val="00C2136D"/>
    <w:rsid w:val="00C214EE"/>
    <w:rsid w:val="00C22968"/>
    <w:rsid w:val="00C2314B"/>
    <w:rsid w:val="00C24971"/>
    <w:rsid w:val="00C24B17"/>
    <w:rsid w:val="00C25F07"/>
    <w:rsid w:val="00C26BE5"/>
    <w:rsid w:val="00C26E4D"/>
    <w:rsid w:val="00C27909"/>
    <w:rsid w:val="00C27B03"/>
    <w:rsid w:val="00C306FA"/>
    <w:rsid w:val="00C314E1"/>
    <w:rsid w:val="00C32C37"/>
    <w:rsid w:val="00C334D6"/>
    <w:rsid w:val="00C34129"/>
    <w:rsid w:val="00C34397"/>
    <w:rsid w:val="00C4095D"/>
    <w:rsid w:val="00C4247A"/>
    <w:rsid w:val="00C42ACC"/>
    <w:rsid w:val="00C444E8"/>
    <w:rsid w:val="00C47C12"/>
    <w:rsid w:val="00C50212"/>
    <w:rsid w:val="00C601D2"/>
    <w:rsid w:val="00C6139C"/>
    <w:rsid w:val="00C6235F"/>
    <w:rsid w:val="00C6237F"/>
    <w:rsid w:val="00C65085"/>
    <w:rsid w:val="00C65BCC"/>
    <w:rsid w:val="00C667D6"/>
    <w:rsid w:val="00C66970"/>
    <w:rsid w:val="00C72F49"/>
    <w:rsid w:val="00C7509F"/>
    <w:rsid w:val="00C75EC0"/>
    <w:rsid w:val="00C80B76"/>
    <w:rsid w:val="00C81CF6"/>
    <w:rsid w:val="00C82617"/>
    <w:rsid w:val="00C83CF2"/>
    <w:rsid w:val="00C8502D"/>
    <w:rsid w:val="00C8691C"/>
    <w:rsid w:val="00C92831"/>
    <w:rsid w:val="00C92E92"/>
    <w:rsid w:val="00C964F9"/>
    <w:rsid w:val="00CA03A7"/>
    <w:rsid w:val="00CA0B08"/>
    <w:rsid w:val="00CA168A"/>
    <w:rsid w:val="00CA357E"/>
    <w:rsid w:val="00CA44F9"/>
    <w:rsid w:val="00CA4A69"/>
    <w:rsid w:val="00CA5CCE"/>
    <w:rsid w:val="00CB3D01"/>
    <w:rsid w:val="00CB3E05"/>
    <w:rsid w:val="00CB65B7"/>
    <w:rsid w:val="00CC2E4A"/>
    <w:rsid w:val="00CC3E0C"/>
    <w:rsid w:val="00CC4DB3"/>
    <w:rsid w:val="00CC58D3"/>
    <w:rsid w:val="00CC6557"/>
    <w:rsid w:val="00CC784D"/>
    <w:rsid w:val="00CD53CF"/>
    <w:rsid w:val="00CD7836"/>
    <w:rsid w:val="00CE008E"/>
    <w:rsid w:val="00CE109F"/>
    <w:rsid w:val="00CE3AAA"/>
    <w:rsid w:val="00CE4425"/>
    <w:rsid w:val="00CE5DE6"/>
    <w:rsid w:val="00CE741F"/>
    <w:rsid w:val="00CF01E0"/>
    <w:rsid w:val="00CF26CA"/>
    <w:rsid w:val="00D0035F"/>
    <w:rsid w:val="00D01E7B"/>
    <w:rsid w:val="00D0337B"/>
    <w:rsid w:val="00D05F28"/>
    <w:rsid w:val="00D079B2"/>
    <w:rsid w:val="00D07DEF"/>
    <w:rsid w:val="00D114E9"/>
    <w:rsid w:val="00D12702"/>
    <w:rsid w:val="00D12AFE"/>
    <w:rsid w:val="00D13176"/>
    <w:rsid w:val="00D20AA4"/>
    <w:rsid w:val="00D235A4"/>
    <w:rsid w:val="00D2513F"/>
    <w:rsid w:val="00D2586C"/>
    <w:rsid w:val="00D31D23"/>
    <w:rsid w:val="00D33413"/>
    <w:rsid w:val="00D371C0"/>
    <w:rsid w:val="00D41DFA"/>
    <w:rsid w:val="00D429C6"/>
    <w:rsid w:val="00D43E96"/>
    <w:rsid w:val="00D47748"/>
    <w:rsid w:val="00D50F94"/>
    <w:rsid w:val="00D511E7"/>
    <w:rsid w:val="00D51AF7"/>
    <w:rsid w:val="00D53EDC"/>
    <w:rsid w:val="00D544C0"/>
    <w:rsid w:val="00D54CC3"/>
    <w:rsid w:val="00D56506"/>
    <w:rsid w:val="00D60085"/>
    <w:rsid w:val="00D6041A"/>
    <w:rsid w:val="00D62413"/>
    <w:rsid w:val="00D6271B"/>
    <w:rsid w:val="00D62E37"/>
    <w:rsid w:val="00D631E3"/>
    <w:rsid w:val="00D633EB"/>
    <w:rsid w:val="00D65172"/>
    <w:rsid w:val="00D66656"/>
    <w:rsid w:val="00D72871"/>
    <w:rsid w:val="00D72B5B"/>
    <w:rsid w:val="00D73357"/>
    <w:rsid w:val="00D75EA6"/>
    <w:rsid w:val="00D76D09"/>
    <w:rsid w:val="00D80E54"/>
    <w:rsid w:val="00D81ABE"/>
    <w:rsid w:val="00D81CA5"/>
    <w:rsid w:val="00D82FF7"/>
    <w:rsid w:val="00D847FE"/>
    <w:rsid w:val="00D877C1"/>
    <w:rsid w:val="00D91647"/>
    <w:rsid w:val="00D94D00"/>
    <w:rsid w:val="00D958E7"/>
    <w:rsid w:val="00D95E11"/>
    <w:rsid w:val="00D95EC0"/>
    <w:rsid w:val="00D964EA"/>
    <w:rsid w:val="00D966D0"/>
    <w:rsid w:val="00DA0C59"/>
    <w:rsid w:val="00DA3991"/>
    <w:rsid w:val="00DA6805"/>
    <w:rsid w:val="00DB31C7"/>
    <w:rsid w:val="00DB4552"/>
    <w:rsid w:val="00DB62C7"/>
    <w:rsid w:val="00DB7E6C"/>
    <w:rsid w:val="00DC26FD"/>
    <w:rsid w:val="00DC64B9"/>
    <w:rsid w:val="00DC6A7C"/>
    <w:rsid w:val="00DC721A"/>
    <w:rsid w:val="00DC78BE"/>
    <w:rsid w:val="00DC78DE"/>
    <w:rsid w:val="00DD0824"/>
    <w:rsid w:val="00DD1C51"/>
    <w:rsid w:val="00DD24FF"/>
    <w:rsid w:val="00DD32BA"/>
    <w:rsid w:val="00DD472E"/>
    <w:rsid w:val="00DD5A29"/>
    <w:rsid w:val="00DD5D9D"/>
    <w:rsid w:val="00DD7D8F"/>
    <w:rsid w:val="00DE15C6"/>
    <w:rsid w:val="00DE35CB"/>
    <w:rsid w:val="00DE4D58"/>
    <w:rsid w:val="00DE5089"/>
    <w:rsid w:val="00DE6BE7"/>
    <w:rsid w:val="00DF0D10"/>
    <w:rsid w:val="00DF21E9"/>
    <w:rsid w:val="00DF22D4"/>
    <w:rsid w:val="00E00F14"/>
    <w:rsid w:val="00E04197"/>
    <w:rsid w:val="00E04FDC"/>
    <w:rsid w:val="00E06386"/>
    <w:rsid w:val="00E07D59"/>
    <w:rsid w:val="00E10CE1"/>
    <w:rsid w:val="00E11272"/>
    <w:rsid w:val="00E24EB4"/>
    <w:rsid w:val="00E253EB"/>
    <w:rsid w:val="00E320ED"/>
    <w:rsid w:val="00E3239D"/>
    <w:rsid w:val="00E33AFB"/>
    <w:rsid w:val="00E34218"/>
    <w:rsid w:val="00E46282"/>
    <w:rsid w:val="00E464BF"/>
    <w:rsid w:val="00E468AC"/>
    <w:rsid w:val="00E520ED"/>
    <w:rsid w:val="00E5216E"/>
    <w:rsid w:val="00E54D8B"/>
    <w:rsid w:val="00E5569D"/>
    <w:rsid w:val="00E63022"/>
    <w:rsid w:val="00E71462"/>
    <w:rsid w:val="00E7178E"/>
    <w:rsid w:val="00E72399"/>
    <w:rsid w:val="00E73885"/>
    <w:rsid w:val="00E749AD"/>
    <w:rsid w:val="00E74CA2"/>
    <w:rsid w:val="00E758B2"/>
    <w:rsid w:val="00E75BCD"/>
    <w:rsid w:val="00E7714C"/>
    <w:rsid w:val="00E77C3A"/>
    <w:rsid w:val="00E82344"/>
    <w:rsid w:val="00E84C82"/>
    <w:rsid w:val="00E84D64"/>
    <w:rsid w:val="00E8637A"/>
    <w:rsid w:val="00E87408"/>
    <w:rsid w:val="00E914C4"/>
    <w:rsid w:val="00E916E6"/>
    <w:rsid w:val="00E9193A"/>
    <w:rsid w:val="00E934F5"/>
    <w:rsid w:val="00E939C9"/>
    <w:rsid w:val="00E96961"/>
    <w:rsid w:val="00E96FDA"/>
    <w:rsid w:val="00E971DF"/>
    <w:rsid w:val="00E976B3"/>
    <w:rsid w:val="00EA0486"/>
    <w:rsid w:val="00EA72EC"/>
    <w:rsid w:val="00EA79B0"/>
    <w:rsid w:val="00EB08CB"/>
    <w:rsid w:val="00EB0994"/>
    <w:rsid w:val="00EB11CB"/>
    <w:rsid w:val="00EB1D38"/>
    <w:rsid w:val="00EB275A"/>
    <w:rsid w:val="00EB593B"/>
    <w:rsid w:val="00EB786A"/>
    <w:rsid w:val="00EC1578"/>
    <w:rsid w:val="00EC1C72"/>
    <w:rsid w:val="00EC2548"/>
    <w:rsid w:val="00EC3CC9"/>
    <w:rsid w:val="00EC680A"/>
    <w:rsid w:val="00EC70CB"/>
    <w:rsid w:val="00ED1F34"/>
    <w:rsid w:val="00ED6861"/>
    <w:rsid w:val="00ED6CB1"/>
    <w:rsid w:val="00EE20D3"/>
    <w:rsid w:val="00EE2BED"/>
    <w:rsid w:val="00EE374B"/>
    <w:rsid w:val="00EE79EB"/>
    <w:rsid w:val="00EF07D2"/>
    <w:rsid w:val="00EF0852"/>
    <w:rsid w:val="00EF5D16"/>
    <w:rsid w:val="00EF6893"/>
    <w:rsid w:val="00EF6FDC"/>
    <w:rsid w:val="00F001F2"/>
    <w:rsid w:val="00F06D4E"/>
    <w:rsid w:val="00F072C0"/>
    <w:rsid w:val="00F10F81"/>
    <w:rsid w:val="00F11BB5"/>
    <w:rsid w:val="00F121BF"/>
    <w:rsid w:val="00F12E67"/>
    <w:rsid w:val="00F140D2"/>
    <w:rsid w:val="00F1417B"/>
    <w:rsid w:val="00F1429E"/>
    <w:rsid w:val="00F15B7E"/>
    <w:rsid w:val="00F16BAB"/>
    <w:rsid w:val="00F17017"/>
    <w:rsid w:val="00F31E25"/>
    <w:rsid w:val="00F32A40"/>
    <w:rsid w:val="00F34B99"/>
    <w:rsid w:val="00F361E5"/>
    <w:rsid w:val="00F43B1B"/>
    <w:rsid w:val="00F4502C"/>
    <w:rsid w:val="00F50883"/>
    <w:rsid w:val="00F52420"/>
    <w:rsid w:val="00F52DAB"/>
    <w:rsid w:val="00F540BC"/>
    <w:rsid w:val="00F543F0"/>
    <w:rsid w:val="00F5440C"/>
    <w:rsid w:val="00F557D2"/>
    <w:rsid w:val="00F5709F"/>
    <w:rsid w:val="00F613A2"/>
    <w:rsid w:val="00F61EA2"/>
    <w:rsid w:val="00F62FD8"/>
    <w:rsid w:val="00F64672"/>
    <w:rsid w:val="00F64F29"/>
    <w:rsid w:val="00F660A4"/>
    <w:rsid w:val="00F7119C"/>
    <w:rsid w:val="00F72782"/>
    <w:rsid w:val="00F76F34"/>
    <w:rsid w:val="00F77A9D"/>
    <w:rsid w:val="00F77ACF"/>
    <w:rsid w:val="00F77D8A"/>
    <w:rsid w:val="00F81D29"/>
    <w:rsid w:val="00F90287"/>
    <w:rsid w:val="00F909EE"/>
    <w:rsid w:val="00F91C4D"/>
    <w:rsid w:val="00F91F55"/>
    <w:rsid w:val="00F92FD9"/>
    <w:rsid w:val="00F94F74"/>
    <w:rsid w:val="00F9587F"/>
    <w:rsid w:val="00F96DF9"/>
    <w:rsid w:val="00FA15C7"/>
    <w:rsid w:val="00FA6684"/>
    <w:rsid w:val="00FA731E"/>
    <w:rsid w:val="00FB0E22"/>
    <w:rsid w:val="00FB2B38"/>
    <w:rsid w:val="00FC0503"/>
    <w:rsid w:val="00FC0830"/>
    <w:rsid w:val="00FC3101"/>
    <w:rsid w:val="00FC6358"/>
    <w:rsid w:val="00FD11D5"/>
    <w:rsid w:val="00FD320D"/>
    <w:rsid w:val="00FD58CB"/>
    <w:rsid w:val="00FD6CF9"/>
    <w:rsid w:val="00FE23DE"/>
    <w:rsid w:val="00FE37A8"/>
    <w:rsid w:val="00FE7A94"/>
    <w:rsid w:val="00FF3D67"/>
    <w:rsid w:val="00FF5032"/>
    <w:rsid w:val="00FF5F74"/>
    <w:rsid w:val="00FF78C1"/>
    <w:rsid w:val="6AF826C3"/>
    <w:rsid w:val="6ED7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39" w:semiHidden="0" w:name="toc 1"/>
    <w:lsdException w:qFormat="1" w:unhideWhenUsed="0" w:uiPriority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4"/>
    <w:qFormat/>
    <w:uiPriority w:val="0"/>
    <w:pPr>
      <w:keepNext/>
      <w:snapToGrid w:val="0"/>
      <w:jc w:val="center"/>
      <w:outlineLvl w:val="0"/>
    </w:pPr>
    <w:rPr>
      <w:rFonts w:hint="eastAsia" w:ascii="宋体" w:hAnsi="宋体" w:cs="Arial Unicode MS"/>
      <w:b/>
      <w:bCs/>
      <w:lang w:eastAsia="zh-TW"/>
    </w:rPr>
  </w:style>
  <w:style w:type="paragraph" w:styleId="3">
    <w:name w:val="heading 2"/>
    <w:basedOn w:val="1"/>
    <w:next w:val="1"/>
    <w:link w:val="20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0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02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203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4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205"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06"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207"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89">
    <w:name w:val="Default Paragraph Font"/>
    <w:unhideWhenUsed/>
    <w:qFormat/>
    <w:uiPriority w:val="1"/>
  </w:style>
  <w:style w:type="table" w:default="1" w:styleId="9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iPriority w:val="0"/>
    <w:pPr>
      <w:ind w:left="100" w:leftChars="400" w:hanging="200" w:hangingChars="200"/>
      <w:contextualSpacing/>
    </w:pPr>
  </w:style>
  <w:style w:type="paragraph" w:styleId="12">
    <w:name w:val="annotation subject"/>
    <w:basedOn w:val="13"/>
    <w:next w:val="13"/>
    <w:link w:val="219"/>
    <w:uiPriority w:val="0"/>
    <w:rPr>
      <w:b/>
      <w:bCs/>
    </w:rPr>
  </w:style>
  <w:style w:type="paragraph" w:styleId="13">
    <w:name w:val="annotation text"/>
    <w:basedOn w:val="1"/>
    <w:link w:val="218"/>
    <w:qFormat/>
    <w:uiPriority w:val="0"/>
    <w:pPr>
      <w:jc w:val="left"/>
    </w:pPr>
  </w:style>
  <w:style w:type="paragraph" w:styleId="14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15">
    <w:name w:val="Body Text First Indent"/>
    <w:basedOn w:val="16"/>
    <w:link w:val="228"/>
    <w:uiPriority w:val="0"/>
    <w:pPr>
      <w:ind w:firstLine="420" w:firstLineChars="100"/>
    </w:pPr>
  </w:style>
  <w:style w:type="paragraph" w:styleId="16">
    <w:name w:val="Body Text"/>
    <w:basedOn w:val="1"/>
    <w:link w:val="227"/>
    <w:qFormat/>
    <w:uiPriority w:val="0"/>
    <w:pPr>
      <w:spacing w:after="120"/>
    </w:pPr>
  </w:style>
  <w:style w:type="paragraph" w:styleId="17">
    <w:name w:val="List Number 2"/>
    <w:basedOn w:val="1"/>
    <w:uiPriority w:val="0"/>
    <w:pPr>
      <w:numPr>
        <w:ilvl w:val="0"/>
        <w:numId w:val="1"/>
      </w:numPr>
      <w:contextualSpacing/>
    </w:pPr>
  </w:style>
  <w:style w:type="paragraph" w:styleId="18">
    <w:name w:val="table of authorities"/>
    <w:basedOn w:val="1"/>
    <w:next w:val="1"/>
    <w:qFormat/>
    <w:uiPriority w:val="0"/>
    <w:pPr>
      <w:ind w:left="420" w:leftChars="200"/>
    </w:pPr>
  </w:style>
  <w:style w:type="paragraph" w:styleId="19">
    <w:name w:val="macro"/>
    <w:link w:val="21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20">
    <w:name w:val="Note Heading"/>
    <w:basedOn w:val="1"/>
    <w:next w:val="1"/>
    <w:link w:val="235"/>
    <w:qFormat/>
    <w:uiPriority w:val="0"/>
    <w:pPr>
      <w:jc w:val="center"/>
    </w:pPr>
  </w:style>
  <w:style w:type="paragraph" w:styleId="21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E-mail Signature"/>
    <w:basedOn w:val="1"/>
    <w:link w:val="210"/>
    <w:qFormat/>
    <w:uiPriority w:val="0"/>
  </w:style>
  <w:style w:type="paragraph" w:styleId="24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5">
    <w:name w:val="Normal Indent"/>
    <w:basedOn w:val="1"/>
    <w:qFormat/>
    <w:uiPriority w:val="0"/>
    <w:pPr>
      <w:ind w:firstLine="420" w:firstLineChars="200"/>
    </w:pPr>
  </w:style>
  <w:style w:type="paragraph" w:styleId="26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27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8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Cambria" w:hAnsi="Cambria"/>
      <w:sz w:val="24"/>
    </w:rPr>
  </w:style>
  <w:style w:type="paragraph" w:styleId="30">
    <w:name w:val="Document Map"/>
    <w:basedOn w:val="1"/>
    <w:semiHidden/>
    <w:qFormat/>
    <w:uiPriority w:val="0"/>
    <w:pPr>
      <w:shd w:val="clear" w:color="auto" w:fill="000080"/>
    </w:pPr>
  </w:style>
  <w:style w:type="paragraph" w:styleId="31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</w:rPr>
  </w:style>
  <w:style w:type="paragraph" w:styleId="32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33">
    <w:name w:val="Salutation"/>
    <w:basedOn w:val="1"/>
    <w:next w:val="1"/>
    <w:link w:val="208"/>
    <w:qFormat/>
    <w:uiPriority w:val="0"/>
  </w:style>
  <w:style w:type="paragraph" w:styleId="34">
    <w:name w:val="Body Text 3"/>
    <w:basedOn w:val="1"/>
    <w:link w:val="232"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link w:val="213"/>
    <w:qFormat/>
    <w:uiPriority w:val="0"/>
    <w:pPr>
      <w:ind w:left="100" w:leftChars="2100"/>
    </w:pPr>
  </w:style>
  <w:style w:type="paragraph" w:styleId="36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7">
    <w:name w:val="Body Text Indent"/>
    <w:basedOn w:val="1"/>
    <w:link w:val="229"/>
    <w:qFormat/>
    <w:uiPriority w:val="0"/>
    <w:pPr>
      <w:spacing w:after="120"/>
      <w:ind w:left="420" w:leftChars="200"/>
    </w:pPr>
  </w:style>
  <w:style w:type="paragraph" w:styleId="38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9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40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41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2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3">
    <w:name w:val="HTML Address"/>
    <w:basedOn w:val="1"/>
    <w:link w:val="196"/>
    <w:qFormat/>
    <w:uiPriority w:val="0"/>
    <w:rPr>
      <w:i/>
      <w:iCs/>
    </w:rPr>
  </w:style>
  <w:style w:type="paragraph" w:styleId="44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45">
    <w:name w:val="toc 5"/>
    <w:basedOn w:val="1"/>
    <w:next w:val="1"/>
    <w:qFormat/>
    <w:uiPriority w:val="39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47">
    <w:name w:val="Plain Text"/>
    <w:basedOn w:val="1"/>
    <w:link w:val="209"/>
    <w:qFormat/>
    <w:uiPriority w:val="0"/>
    <w:rPr>
      <w:rFonts w:ascii="宋体" w:hAnsi="Courier New" w:cs="Courier New"/>
      <w:szCs w:val="21"/>
    </w:rPr>
  </w:style>
  <w:style w:type="paragraph" w:styleId="48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9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0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51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52">
    <w:name w:val="Date"/>
    <w:basedOn w:val="1"/>
    <w:next w:val="1"/>
    <w:link w:val="221"/>
    <w:qFormat/>
    <w:uiPriority w:val="0"/>
    <w:pPr>
      <w:ind w:left="100" w:leftChars="2500"/>
    </w:pPr>
  </w:style>
  <w:style w:type="paragraph" w:styleId="53">
    <w:name w:val="Body Text Indent 2"/>
    <w:basedOn w:val="1"/>
    <w:link w:val="233"/>
    <w:qFormat/>
    <w:uiPriority w:val="0"/>
    <w:pPr>
      <w:spacing w:after="120" w:line="480" w:lineRule="auto"/>
      <w:ind w:left="420" w:leftChars="200"/>
    </w:pPr>
  </w:style>
  <w:style w:type="paragraph" w:styleId="54">
    <w:name w:val="endnote text"/>
    <w:basedOn w:val="1"/>
    <w:semiHidden/>
    <w:qFormat/>
    <w:uiPriority w:val="0"/>
    <w:pPr>
      <w:snapToGrid w:val="0"/>
      <w:jc w:val="left"/>
    </w:pPr>
  </w:style>
  <w:style w:type="paragraph" w:styleId="55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6">
    <w:name w:val="Balloon Text"/>
    <w:basedOn w:val="1"/>
    <w:link w:val="217"/>
    <w:qFormat/>
    <w:uiPriority w:val="0"/>
    <w:rPr>
      <w:sz w:val="18"/>
      <w:szCs w:val="18"/>
    </w:rPr>
  </w:style>
  <w:style w:type="paragraph" w:styleId="57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58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9">
    <w:name w:val="Body Text First Indent 2"/>
    <w:basedOn w:val="37"/>
    <w:link w:val="230"/>
    <w:uiPriority w:val="0"/>
    <w:pPr>
      <w:ind w:firstLine="420" w:firstLineChars="200"/>
    </w:pPr>
  </w:style>
  <w:style w:type="paragraph" w:styleId="60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1">
    <w:name w:val="Signature"/>
    <w:basedOn w:val="1"/>
    <w:link w:val="220"/>
    <w:uiPriority w:val="0"/>
    <w:pPr>
      <w:ind w:left="100" w:leftChars="2100"/>
    </w:pPr>
  </w:style>
  <w:style w:type="paragraph" w:styleId="62">
    <w:name w:val="toc 1"/>
    <w:basedOn w:val="1"/>
    <w:next w:val="1"/>
    <w:uiPriority w:val="39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63">
    <w:name w:val="List Continue 4"/>
    <w:basedOn w:val="1"/>
    <w:uiPriority w:val="0"/>
    <w:pPr>
      <w:spacing w:after="120"/>
      <w:ind w:left="1680" w:leftChars="800"/>
      <w:contextualSpacing/>
    </w:pPr>
  </w:style>
  <w:style w:type="paragraph" w:styleId="64">
    <w:name w:val="toc 4"/>
    <w:basedOn w:val="1"/>
    <w:next w:val="1"/>
    <w:uiPriority w:val="39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65">
    <w:name w:val="index heading"/>
    <w:basedOn w:val="1"/>
    <w:next w:val="66"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66">
    <w:name w:val="index 1"/>
    <w:basedOn w:val="1"/>
    <w:next w:val="67"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67">
    <w:name w:val="段"/>
    <w:link w:val="9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68">
    <w:name w:val="Subtitle"/>
    <w:basedOn w:val="1"/>
    <w:next w:val="1"/>
    <w:link w:val="21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List"/>
    <w:basedOn w:val="1"/>
    <w:qFormat/>
    <w:uiPriority w:val="0"/>
    <w:pPr>
      <w:ind w:left="200" w:hanging="200" w:hangingChars="200"/>
      <w:contextualSpacing/>
    </w:pPr>
  </w:style>
  <w:style w:type="paragraph" w:styleId="71">
    <w:name w:val="footnote text"/>
    <w:basedOn w:val="1"/>
    <w:qFormat/>
    <w:uiPriority w:val="0"/>
    <w:pPr>
      <w:numPr>
        <w:ilvl w:val="0"/>
        <w:numId w:val="11"/>
      </w:numPr>
      <w:snapToGrid w:val="0"/>
      <w:jc w:val="left"/>
    </w:pPr>
    <w:rPr>
      <w:rFonts w:ascii="宋体"/>
      <w:sz w:val="18"/>
      <w:szCs w:val="18"/>
    </w:rPr>
  </w:style>
  <w:style w:type="paragraph" w:styleId="72">
    <w:name w:val="toc 6"/>
    <w:basedOn w:val="1"/>
    <w:next w:val="1"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73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4">
    <w:name w:val="Body Text Indent 3"/>
    <w:basedOn w:val="1"/>
    <w:link w:val="234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5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76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77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8">
    <w:name w:val="toc 2"/>
    <w:basedOn w:val="1"/>
    <w:next w:val="1"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79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80">
    <w:name w:val="Body Text 2"/>
    <w:basedOn w:val="1"/>
    <w:link w:val="231"/>
    <w:qFormat/>
    <w:uiPriority w:val="0"/>
    <w:pPr>
      <w:spacing w:after="120" w:line="480" w:lineRule="auto"/>
    </w:pPr>
  </w:style>
  <w:style w:type="paragraph" w:styleId="81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82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83">
    <w:name w:val="Message Header"/>
    <w:basedOn w:val="1"/>
    <w:link w:val="2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84">
    <w:name w:val="HTML Preformatted"/>
    <w:basedOn w:val="1"/>
    <w:link w:val="197"/>
    <w:qFormat/>
    <w:uiPriority w:val="0"/>
    <w:rPr>
      <w:rFonts w:ascii="Courier New" w:hAnsi="Courier New" w:cs="Courier New"/>
      <w:sz w:val="20"/>
      <w:szCs w:val="20"/>
    </w:rPr>
  </w:style>
  <w:style w:type="paragraph" w:styleId="85">
    <w:name w:val="Normal (Web)"/>
    <w:basedOn w:val="1"/>
    <w:qFormat/>
    <w:uiPriority w:val="0"/>
    <w:rPr>
      <w:sz w:val="24"/>
    </w:rPr>
  </w:style>
  <w:style w:type="paragraph" w:styleId="86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7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88">
    <w:name w:val="Title"/>
    <w:basedOn w:val="1"/>
    <w:next w:val="1"/>
    <w:link w:val="19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90">
    <w:name w:val="Strong"/>
    <w:basedOn w:val="89"/>
    <w:qFormat/>
    <w:uiPriority w:val="22"/>
    <w:rPr>
      <w:b/>
      <w:bCs/>
    </w:rPr>
  </w:style>
  <w:style w:type="character" w:styleId="91">
    <w:name w:val="endnote reference"/>
    <w:basedOn w:val="89"/>
    <w:semiHidden/>
    <w:qFormat/>
    <w:uiPriority w:val="0"/>
    <w:rPr>
      <w:vertAlign w:val="superscript"/>
    </w:rPr>
  </w:style>
  <w:style w:type="character" w:styleId="92">
    <w:name w:val="page number"/>
    <w:basedOn w:val="89"/>
    <w:qFormat/>
    <w:uiPriority w:val="0"/>
    <w:rPr>
      <w:rFonts w:ascii="Times New Roman" w:hAnsi="Times New Roman" w:eastAsia="宋体"/>
      <w:sz w:val="18"/>
    </w:rPr>
  </w:style>
  <w:style w:type="character" w:styleId="93">
    <w:name w:val="FollowedHyperlink"/>
    <w:basedOn w:val="89"/>
    <w:qFormat/>
    <w:uiPriority w:val="0"/>
    <w:rPr>
      <w:color w:val="800080"/>
      <w:u w:val="single"/>
    </w:rPr>
  </w:style>
  <w:style w:type="character" w:styleId="94">
    <w:name w:val="Hyperlink"/>
    <w:basedOn w:val="89"/>
    <w:qFormat/>
    <w:uiPriority w:val="99"/>
    <w:rPr>
      <w:color w:val="0000FF"/>
      <w:spacing w:val="0"/>
      <w:w w:val="100"/>
      <w:szCs w:val="21"/>
      <w:u w:val="single"/>
    </w:rPr>
  </w:style>
  <w:style w:type="character" w:styleId="95">
    <w:name w:val="footnote reference"/>
    <w:basedOn w:val="89"/>
    <w:semiHidden/>
    <w:qFormat/>
    <w:uiPriority w:val="0"/>
    <w:rPr>
      <w:vertAlign w:val="superscript"/>
    </w:rPr>
  </w:style>
  <w:style w:type="table" w:styleId="97">
    <w:name w:val="Table Grid"/>
    <w:basedOn w:val="96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98">
    <w:name w:val="段 Char"/>
    <w:basedOn w:val="89"/>
    <w:link w:val="67"/>
    <w:qFormat/>
    <w:uiPriority w:val="0"/>
    <w:rPr>
      <w:rFonts w:ascii="宋体"/>
      <w:sz w:val="21"/>
      <w:lang w:val="en-US" w:eastAsia="zh-CN" w:bidi="ar-SA"/>
    </w:rPr>
  </w:style>
  <w:style w:type="paragraph" w:customStyle="1" w:styleId="99">
    <w:name w:val="一级条标题"/>
    <w:next w:val="67"/>
    <w:qFormat/>
    <w:uiPriority w:val="0"/>
    <w:pPr>
      <w:numPr>
        <w:ilvl w:val="1"/>
        <w:numId w:val="12"/>
      </w:numPr>
      <w:spacing w:beforeLines="50" w:afterLines="50"/>
      <w:ind w:left="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0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2">
    <w:name w:val="章标题"/>
    <w:next w:val="67"/>
    <w:qFormat/>
    <w:uiPriority w:val="0"/>
    <w:pPr>
      <w:numPr>
        <w:ilvl w:val="0"/>
        <w:numId w:val="1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二级条标题"/>
    <w:basedOn w:val="99"/>
    <w:next w:val="67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0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05">
    <w:name w:val="列项——（一级）"/>
    <w:qFormat/>
    <w:uiPriority w:val="0"/>
    <w:pPr>
      <w:widowControl w:val="0"/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列项●（二级）"/>
    <w:qFormat/>
    <w:uiPriority w:val="0"/>
    <w:pPr>
      <w:numPr>
        <w:ilvl w:val="1"/>
        <w:numId w:val="1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目次、标准名称标题"/>
    <w:basedOn w:val="1"/>
    <w:next w:val="67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108">
    <w:name w:val="三级条标题"/>
    <w:basedOn w:val="103"/>
    <w:next w:val="67"/>
    <w:qFormat/>
    <w:uiPriority w:val="0"/>
    <w:pPr>
      <w:numPr>
        <w:ilvl w:val="3"/>
      </w:numPr>
      <w:outlineLvl w:val="4"/>
    </w:pPr>
  </w:style>
  <w:style w:type="paragraph" w:customStyle="1" w:styleId="109">
    <w:name w:val="示例"/>
    <w:next w:val="110"/>
    <w:qFormat/>
    <w:uiPriority w:val="0"/>
    <w:pPr>
      <w:widowControl w:val="0"/>
      <w:numPr>
        <w:ilvl w:val="0"/>
        <w:numId w:val="1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0">
    <w:name w:val="示例内容"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1">
    <w:name w:val="数字编号列项（二级）"/>
    <w:qFormat/>
    <w:uiPriority w:val="0"/>
    <w:pPr>
      <w:numPr>
        <w:ilvl w:val="1"/>
        <w:numId w:val="1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四级条标题"/>
    <w:basedOn w:val="108"/>
    <w:next w:val="67"/>
    <w:qFormat/>
    <w:uiPriority w:val="0"/>
    <w:pPr>
      <w:numPr>
        <w:ilvl w:val="4"/>
      </w:numPr>
      <w:outlineLvl w:val="5"/>
    </w:pPr>
  </w:style>
  <w:style w:type="paragraph" w:customStyle="1" w:styleId="113">
    <w:name w:val="五级条标题"/>
    <w:basedOn w:val="112"/>
    <w:next w:val="67"/>
    <w:qFormat/>
    <w:uiPriority w:val="0"/>
    <w:pPr>
      <w:numPr>
        <w:ilvl w:val="5"/>
      </w:numPr>
      <w:outlineLvl w:val="6"/>
    </w:pPr>
  </w:style>
  <w:style w:type="paragraph" w:customStyle="1" w:styleId="114">
    <w:name w:val="注："/>
    <w:next w:val="67"/>
    <w:qFormat/>
    <w:uiPriority w:val="0"/>
    <w:pPr>
      <w:widowControl w:val="0"/>
      <w:numPr>
        <w:ilvl w:val="0"/>
        <w:numId w:val="1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5">
    <w:name w:val="注×："/>
    <w:qFormat/>
    <w:uiPriority w:val="0"/>
    <w:pPr>
      <w:widowControl w:val="0"/>
      <w:numPr>
        <w:ilvl w:val="0"/>
        <w:numId w:val="1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6">
    <w:name w:val="字母编号列项（一级）"/>
    <w:qFormat/>
    <w:uiPriority w:val="0"/>
    <w:pPr>
      <w:numPr>
        <w:ilvl w:val="0"/>
        <w:numId w:val="1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7">
    <w:name w:val="列项◆（三级）"/>
    <w:basedOn w:val="1"/>
    <w:qFormat/>
    <w:uiPriority w:val="0"/>
    <w:pPr>
      <w:numPr>
        <w:ilvl w:val="2"/>
        <w:numId w:val="13"/>
      </w:numPr>
    </w:pPr>
    <w:rPr>
      <w:rFonts w:ascii="宋体"/>
      <w:szCs w:val="21"/>
    </w:rPr>
  </w:style>
  <w:style w:type="paragraph" w:customStyle="1" w:styleId="118">
    <w:name w:val="编号列项（三级）"/>
    <w:qFormat/>
    <w:uiPriority w:val="0"/>
    <w:pPr>
      <w:numPr>
        <w:ilvl w:val="2"/>
        <w:numId w:val="1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示例×："/>
    <w:basedOn w:val="102"/>
    <w:qFormat/>
    <w:uiPriority w:val="0"/>
    <w:pPr>
      <w:numPr>
        <w:numId w:val="1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120">
    <w:name w:val="二级无"/>
    <w:basedOn w:val="103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1">
    <w:name w:val="注：（正文）"/>
    <w:basedOn w:val="114"/>
    <w:next w:val="67"/>
    <w:qFormat/>
    <w:uiPriority w:val="0"/>
  </w:style>
  <w:style w:type="paragraph" w:customStyle="1" w:styleId="122">
    <w:name w:val="注×：（正文）"/>
    <w:qFormat/>
    <w:uiPriority w:val="0"/>
    <w:pPr>
      <w:numPr>
        <w:ilvl w:val="0"/>
        <w:numId w:val="19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2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12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6">
    <w:name w:val="标准书眉_偶数页"/>
    <w:basedOn w:val="101"/>
    <w:next w:val="1"/>
    <w:qFormat/>
    <w:uiPriority w:val="0"/>
    <w:pPr>
      <w:jc w:val="left"/>
    </w:pPr>
  </w:style>
  <w:style w:type="paragraph" w:customStyle="1" w:styleId="12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8">
    <w:name w:val="参考文献"/>
    <w:basedOn w:val="1"/>
    <w:next w:val="67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29">
    <w:name w:val="参考文献、索引标题"/>
    <w:basedOn w:val="1"/>
    <w:next w:val="67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130">
    <w:name w:val="发布"/>
    <w:basedOn w:val="8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131">
    <w:name w:val="发布部门"/>
    <w:next w:val="67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3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3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3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6">
    <w:name w:val="封面标准英文名称"/>
    <w:basedOn w:val="135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37">
    <w:name w:val="封面一致性程度标识"/>
    <w:basedOn w:val="136"/>
    <w:qFormat/>
    <w:uiPriority w:val="0"/>
    <w:pPr>
      <w:spacing w:before="440"/>
    </w:pPr>
    <w:rPr>
      <w:rFonts w:ascii="宋体" w:eastAsia="宋体"/>
    </w:rPr>
  </w:style>
  <w:style w:type="paragraph" w:customStyle="1" w:styleId="138">
    <w:name w:val="封面标准文稿类别"/>
    <w:basedOn w:val="137"/>
    <w:qFormat/>
    <w:uiPriority w:val="0"/>
    <w:pPr>
      <w:spacing w:after="160" w:line="240" w:lineRule="auto"/>
    </w:pPr>
    <w:rPr>
      <w:sz w:val="24"/>
    </w:rPr>
  </w:style>
  <w:style w:type="paragraph" w:customStyle="1" w:styleId="139">
    <w:name w:val="封面标准文稿编辑信息"/>
    <w:basedOn w:val="138"/>
    <w:qFormat/>
    <w:uiPriority w:val="0"/>
    <w:pPr>
      <w:spacing w:before="180" w:line="180" w:lineRule="exact"/>
    </w:pPr>
    <w:rPr>
      <w:sz w:val="21"/>
    </w:rPr>
  </w:style>
  <w:style w:type="paragraph" w:customStyle="1" w:styleId="14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1">
    <w:name w:val="附录标识"/>
    <w:basedOn w:val="1"/>
    <w:next w:val="67"/>
    <w:qFormat/>
    <w:uiPriority w:val="0"/>
    <w:pPr>
      <w:keepNext/>
      <w:widowControl/>
      <w:numPr>
        <w:ilvl w:val="0"/>
        <w:numId w:val="2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42">
    <w:name w:val="附录标题"/>
    <w:basedOn w:val="67"/>
    <w:next w:val="67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143">
    <w:name w:val="附录表标号"/>
    <w:basedOn w:val="1"/>
    <w:next w:val="67"/>
    <w:qFormat/>
    <w:uiPriority w:val="0"/>
    <w:pPr>
      <w:numPr>
        <w:ilvl w:val="0"/>
        <w:numId w:val="2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44">
    <w:name w:val="附录表标题"/>
    <w:basedOn w:val="1"/>
    <w:next w:val="67"/>
    <w:uiPriority w:val="0"/>
    <w:pPr>
      <w:numPr>
        <w:ilvl w:val="1"/>
        <w:numId w:val="2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45">
    <w:name w:val="附录二级条标题"/>
    <w:basedOn w:val="1"/>
    <w:next w:val="67"/>
    <w:qFormat/>
    <w:uiPriority w:val="0"/>
    <w:pPr>
      <w:widowControl/>
      <w:numPr>
        <w:ilvl w:val="3"/>
        <w:numId w:val="2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46">
    <w:name w:val="附录二级无"/>
    <w:basedOn w:val="145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47">
    <w:name w:val="附录公式"/>
    <w:basedOn w:val="67"/>
    <w:next w:val="67"/>
    <w:link w:val="148"/>
    <w:qFormat/>
    <w:uiPriority w:val="0"/>
  </w:style>
  <w:style w:type="character" w:customStyle="1" w:styleId="148">
    <w:name w:val="附录公式 Char"/>
    <w:basedOn w:val="98"/>
    <w:link w:val="147"/>
    <w:uiPriority w:val="0"/>
    <w:rPr>
      <w:rFonts w:ascii="宋体"/>
      <w:sz w:val="21"/>
      <w:lang w:val="en-US" w:eastAsia="zh-CN" w:bidi="ar-SA"/>
    </w:rPr>
  </w:style>
  <w:style w:type="paragraph" w:customStyle="1" w:styleId="149">
    <w:name w:val="附录公式编号制表符"/>
    <w:basedOn w:val="1"/>
    <w:next w:val="67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50">
    <w:name w:val="附录三级条标题"/>
    <w:basedOn w:val="145"/>
    <w:next w:val="67"/>
    <w:uiPriority w:val="0"/>
    <w:pPr>
      <w:numPr>
        <w:ilvl w:val="4"/>
      </w:numPr>
      <w:outlineLvl w:val="4"/>
    </w:pPr>
  </w:style>
  <w:style w:type="paragraph" w:customStyle="1" w:styleId="151">
    <w:name w:val="附录三级无"/>
    <w:basedOn w:val="150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52">
    <w:name w:val="附录数字编号列项（二级）"/>
    <w:qFormat/>
    <w:uiPriority w:val="0"/>
    <w:pPr>
      <w:numPr>
        <w:ilvl w:val="1"/>
        <w:numId w:val="2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3">
    <w:name w:val="附录四级条标题"/>
    <w:basedOn w:val="150"/>
    <w:next w:val="67"/>
    <w:qFormat/>
    <w:uiPriority w:val="0"/>
    <w:pPr>
      <w:numPr>
        <w:ilvl w:val="5"/>
      </w:numPr>
      <w:outlineLvl w:val="5"/>
    </w:pPr>
  </w:style>
  <w:style w:type="paragraph" w:customStyle="1" w:styleId="154">
    <w:name w:val="附录四级无"/>
    <w:basedOn w:val="153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55">
    <w:name w:val="附录图标号"/>
    <w:basedOn w:val="1"/>
    <w:uiPriority w:val="0"/>
    <w:pPr>
      <w:keepNext/>
      <w:pageBreakBefore/>
      <w:widowControl/>
      <w:numPr>
        <w:ilvl w:val="0"/>
        <w:numId w:val="2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56">
    <w:name w:val="附录图标题"/>
    <w:basedOn w:val="1"/>
    <w:next w:val="67"/>
    <w:uiPriority w:val="0"/>
    <w:pPr>
      <w:numPr>
        <w:ilvl w:val="1"/>
        <w:numId w:val="2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57">
    <w:name w:val="附录五级条标题"/>
    <w:basedOn w:val="153"/>
    <w:next w:val="67"/>
    <w:qFormat/>
    <w:uiPriority w:val="0"/>
    <w:pPr>
      <w:numPr>
        <w:ilvl w:val="6"/>
      </w:numPr>
      <w:outlineLvl w:val="6"/>
    </w:pPr>
  </w:style>
  <w:style w:type="paragraph" w:customStyle="1" w:styleId="158">
    <w:name w:val="附录五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59">
    <w:name w:val="附录章标题"/>
    <w:next w:val="67"/>
    <w:qFormat/>
    <w:uiPriority w:val="0"/>
    <w:pPr>
      <w:numPr>
        <w:ilvl w:val="1"/>
        <w:numId w:val="2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60">
    <w:name w:val="附录一级条标题"/>
    <w:basedOn w:val="159"/>
    <w:next w:val="67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61">
    <w:name w:val="附录一级无"/>
    <w:basedOn w:val="160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62">
    <w:name w:val="附录字母编号列项（一级）"/>
    <w:qFormat/>
    <w:uiPriority w:val="0"/>
    <w:pPr>
      <w:numPr>
        <w:ilvl w:val="0"/>
        <w:numId w:val="2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3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64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6">
    <w:name w:val="其他标准标志"/>
    <w:basedOn w:val="123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6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68">
    <w:name w:val="其他发布部门"/>
    <w:basedOn w:val="131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69">
    <w:name w:val="前言、引言标题"/>
    <w:next w:val="67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70">
    <w:name w:val="三级无"/>
    <w:basedOn w:val="108"/>
    <w:uiPriority w:val="0"/>
    <w:pPr>
      <w:spacing w:beforeLines="0" w:afterLines="0"/>
    </w:pPr>
    <w:rPr>
      <w:rFonts w:ascii="宋体" w:eastAsia="宋体"/>
    </w:rPr>
  </w:style>
  <w:style w:type="paragraph" w:customStyle="1" w:styleId="171">
    <w:name w:val="实施日期"/>
    <w:basedOn w:val="132"/>
    <w:uiPriority w:val="0"/>
    <w:pPr>
      <w:framePr w:vAnchor="page" w:hAnchor="text"/>
      <w:jc w:val="right"/>
    </w:pPr>
  </w:style>
  <w:style w:type="paragraph" w:customStyle="1" w:styleId="172">
    <w:name w:val="示例后文字"/>
    <w:basedOn w:val="67"/>
    <w:next w:val="67"/>
    <w:qFormat/>
    <w:uiPriority w:val="0"/>
    <w:pPr>
      <w:ind w:firstLine="360"/>
    </w:pPr>
    <w:rPr>
      <w:sz w:val="18"/>
    </w:rPr>
  </w:style>
  <w:style w:type="paragraph" w:customStyle="1" w:styleId="173">
    <w:name w:val="首示例"/>
    <w:next w:val="67"/>
    <w:link w:val="174"/>
    <w:qFormat/>
    <w:uiPriority w:val="0"/>
    <w:pPr>
      <w:numPr>
        <w:ilvl w:val="0"/>
        <w:numId w:val="24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74">
    <w:name w:val="首示例 Char"/>
    <w:basedOn w:val="89"/>
    <w:link w:val="173"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175">
    <w:name w:val="四级无"/>
    <w:basedOn w:val="112"/>
    <w:uiPriority w:val="0"/>
    <w:pPr>
      <w:spacing w:beforeLines="0" w:afterLines="0"/>
    </w:pPr>
    <w:rPr>
      <w:rFonts w:ascii="宋体" w:eastAsia="宋体"/>
    </w:rPr>
  </w:style>
  <w:style w:type="paragraph" w:customStyle="1" w:styleId="176">
    <w:name w:val="条文脚注"/>
    <w:basedOn w:val="71"/>
    <w:uiPriority w:val="0"/>
    <w:pPr>
      <w:numPr>
        <w:numId w:val="0"/>
      </w:numPr>
      <w:jc w:val="both"/>
    </w:pPr>
  </w:style>
  <w:style w:type="paragraph" w:customStyle="1" w:styleId="177">
    <w:name w:val="图标脚注说明"/>
    <w:basedOn w:val="67"/>
    <w:uiPriority w:val="0"/>
    <w:pPr>
      <w:ind w:left="840" w:hanging="420" w:firstLineChars="0"/>
    </w:pPr>
    <w:rPr>
      <w:sz w:val="18"/>
      <w:szCs w:val="18"/>
    </w:rPr>
  </w:style>
  <w:style w:type="paragraph" w:customStyle="1" w:styleId="178">
    <w:name w:val="图表脚注说明"/>
    <w:basedOn w:val="1"/>
    <w:uiPriority w:val="0"/>
    <w:pPr>
      <w:numPr>
        <w:ilvl w:val="0"/>
        <w:numId w:val="25"/>
      </w:numPr>
    </w:pPr>
    <w:rPr>
      <w:rFonts w:ascii="宋体"/>
      <w:sz w:val="18"/>
      <w:szCs w:val="18"/>
    </w:rPr>
  </w:style>
  <w:style w:type="paragraph" w:customStyle="1" w:styleId="179">
    <w:name w:val="图的脚注"/>
    <w:next w:val="67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80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1">
    <w:name w:val="五级无"/>
    <w:basedOn w:val="113"/>
    <w:uiPriority w:val="0"/>
    <w:pPr>
      <w:spacing w:beforeLines="0" w:afterLines="0"/>
    </w:pPr>
    <w:rPr>
      <w:rFonts w:ascii="宋体" w:eastAsia="宋体"/>
    </w:rPr>
  </w:style>
  <w:style w:type="paragraph" w:customStyle="1" w:styleId="182">
    <w:name w:val="一级无"/>
    <w:basedOn w:val="99"/>
    <w:uiPriority w:val="0"/>
    <w:pPr>
      <w:spacing w:beforeLines="0" w:afterLines="0"/>
    </w:pPr>
    <w:rPr>
      <w:rFonts w:ascii="宋体" w:eastAsia="宋体"/>
    </w:rPr>
  </w:style>
  <w:style w:type="paragraph" w:customStyle="1" w:styleId="183">
    <w:name w:val="正文表标题"/>
    <w:next w:val="67"/>
    <w:uiPriority w:val="0"/>
    <w:pPr>
      <w:numPr>
        <w:ilvl w:val="0"/>
        <w:numId w:val="26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4">
    <w:name w:val="正文公式编号制表符"/>
    <w:basedOn w:val="67"/>
    <w:next w:val="67"/>
    <w:qFormat/>
    <w:uiPriority w:val="0"/>
    <w:pPr>
      <w:ind w:firstLine="0" w:firstLineChars="0"/>
    </w:pPr>
  </w:style>
  <w:style w:type="paragraph" w:customStyle="1" w:styleId="185">
    <w:name w:val="正文图标题"/>
    <w:next w:val="67"/>
    <w:qFormat/>
    <w:uiPriority w:val="0"/>
    <w:pPr>
      <w:numPr>
        <w:ilvl w:val="0"/>
        <w:numId w:val="27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6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87">
    <w:name w:val="其他发布日期"/>
    <w:basedOn w:val="132"/>
    <w:qFormat/>
    <w:uiPriority w:val="0"/>
    <w:pPr>
      <w:framePr w:vAnchor="page" w:hAnchor="text" w:x="1419"/>
    </w:pPr>
  </w:style>
  <w:style w:type="paragraph" w:customStyle="1" w:styleId="188">
    <w:name w:val="其他实施日期"/>
    <w:basedOn w:val="171"/>
    <w:qFormat/>
    <w:uiPriority w:val="0"/>
  </w:style>
  <w:style w:type="paragraph" w:customStyle="1" w:styleId="189">
    <w:name w:val="封面标准名称2"/>
    <w:basedOn w:val="135"/>
    <w:qFormat/>
    <w:uiPriority w:val="0"/>
    <w:pPr>
      <w:framePr w:y="4469"/>
      <w:spacing w:beforeLines="630"/>
    </w:pPr>
  </w:style>
  <w:style w:type="paragraph" w:customStyle="1" w:styleId="190">
    <w:name w:val="封面标准英文名称2"/>
    <w:basedOn w:val="136"/>
    <w:qFormat/>
    <w:uiPriority w:val="0"/>
    <w:pPr>
      <w:framePr w:y="4469"/>
    </w:pPr>
  </w:style>
  <w:style w:type="paragraph" w:customStyle="1" w:styleId="191">
    <w:name w:val="封面一致性程度标识2"/>
    <w:basedOn w:val="137"/>
    <w:qFormat/>
    <w:uiPriority w:val="0"/>
    <w:pPr>
      <w:framePr w:y="4469"/>
    </w:pPr>
  </w:style>
  <w:style w:type="paragraph" w:customStyle="1" w:styleId="192">
    <w:name w:val="封面标准文稿类别2"/>
    <w:basedOn w:val="138"/>
    <w:qFormat/>
    <w:uiPriority w:val="0"/>
    <w:pPr>
      <w:framePr w:y="4469"/>
    </w:pPr>
  </w:style>
  <w:style w:type="paragraph" w:customStyle="1" w:styleId="193">
    <w:name w:val="封面标准文稿编辑信息2"/>
    <w:basedOn w:val="139"/>
    <w:qFormat/>
    <w:uiPriority w:val="0"/>
    <w:pPr>
      <w:framePr w:y="4469"/>
    </w:pPr>
  </w:style>
  <w:style w:type="character" w:customStyle="1" w:styleId="194">
    <w:name w:val="标题 1 字符"/>
    <w:basedOn w:val="89"/>
    <w:link w:val="2"/>
    <w:qFormat/>
    <w:uiPriority w:val="0"/>
    <w:rPr>
      <w:rFonts w:ascii="宋体" w:hAnsi="宋体" w:cs="Arial Unicode MS"/>
      <w:b/>
      <w:bCs/>
      <w:kern w:val="2"/>
      <w:sz w:val="21"/>
      <w:szCs w:val="24"/>
      <w:lang w:eastAsia="zh-TW"/>
    </w:rPr>
  </w:style>
  <w:style w:type="character" w:customStyle="1" w:styleId="195">
    <w:name w:val="apple-converted-space"/>
    <w:basedOn w:val="89"/>
    <w:qFormat/>
    <w:uiPriority w:val="0"/>
  </w:style>
  <w:style w:type="character" w:customStyle="1" w:styleId="196">
    <w:name w:val="HTML 地址 字符"/>
    <w:basedOn w:val="89"/>
    <w:link w:val="43"/>
    <w:qFormat/>
    <w:uiPriority w:val="0"/>
    <w:rPr>
      <w:i/>
      <w:iCs/>
      <w:kern w:val="2"/>
      <w:sz w:val="21"/>
      <w:szCs w:val="24"/>
    </w:rPr>
  </w:style>
  <w:style w:type="character" w:customStyle="1" w:styleId="197">
    <w:name w:val="HTML 预设格式 字符"/>
    <w:basedOn w:val="89"/>
    <w:link w:val="84"/>
    <w:qFormat/>
    <w:uiPriority w:val="0"/>
    <w:rPr>
      <w:rFonts w:ascii="Courier New" w:hAnsi="Courier New" w:cs="Courier New"/>
      <w:kern w:val="2"/>
    </w:rPr>
  </w:style>
  <w:style w:type="paragraph" w:customStyle="1" w:styleId="198">
    <w:name w:val="TOC Heading"/>
    <w:basedOn w:val="2"/>
    <w:next w:val="1"/>
    <w:unhideWhenUsed/>
    <w:qFormat/>
    <w:uiPriority w:val="39"/>
    <w:pPr>
      <w:keepLines/>
      <w:snapToGrid/>
      <w:spacing w:before="340" w:after="330" w:line="578" w:lineRule="auto"/>
      <w:jc w:val="both"/>
      <w:outlineLvl w:val="9"/>
    </w:pPr>
    <w:rPr>
      <w:rFonts w:hint="default" w:ascii="Times New Roman" w:hAnsi="Times New Roman" w:cs="Times New Roman"/>
      <w:kern w:val="44"/>
      <w:sz w:val="44"/>
      <w:szCs w:val="44"/>
      <w:lang w:eastAsia="zh-CN"/>
    </w:rPr>
  </w:style>
  <w:style w:type="character" w:customStyle="1" w:styleId="199">
    <w:name w:val="标题 字符"/>
    <w:basedOn w:val="89"/>
    <w:link w:val="88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0">
    <w:name w:val="标题 2 字符"/>
    <w:basedOn w:val="89"/>
    <w:link w:val="3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01">
    <w:name w:val="标题 3 字符"/>
    <w:basedOn w:val="89"/>
    <w:link w:val="4"/>
    <w:semiHidden/>
    <w:qFormat/>
    <w:uiPriority w:val="0"/>
    <w:rPr>
      <w:b/>
      <w:bCs/>
      <w:kern w:val="2"/>
      <w:sz w:val="32"/>
      <w:szCs w:val="32"/>
    </w:rPr>
  </w:style>
  <w:style w:type="character" w:customStyle="1" w:styleId="202">
    <w:name w:val="标题 4 字符"/>
    <w:basedOn w:val="89"/>
    <w:link w:val="5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3">
    <w:name w:val="标题 5 字符"/>
    <w:basedOn w:val="89"/>
    <w:link w:val="6"/>
    <w:semiHidden/>
    <w:qFormat/>
    <w:uiPriority w:val="0"/>
    <w:rPr>
      <w:b/>
      <w:bCs/>
      <w:kern w:val="2"/>
      <w:sz w:val="28"/>
      <w:szCs w:val="28"/>
    </w:rPr>
  </w:style>
  <w:style w:type="character" w:customStyle="1" w:styleId="204">
    <w:name w:val="标题 6 字符"/>
    <w:basedOn w:val="89"/>
    <w:link w:val="7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205">
    <w:name w:val="标题 7 字符"/>
    <w:basedOn w:val="89"/>
    <w:link w:val="8"/>
    <w:semiHidden/>
    <w:qFormat/>
    <w:uiPriority w:val="0"/>
    <w:rPr>
      <w:b/>
      <w:bCs/>
      <w:kern w:val="2"/>
      <w:sz w:val="24"/>
      <w:szCs w:val="24"/>
    </w:rPr>
  </w:style>
  <w:style w:type="character" w:customStyle="1" w:styleId="206">
    <w:name w:val="标题 8 字符"/>
    <w:basedOn w:val="89"/>
    <w:link w:val="9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207">
    <w:name w:val="标题 9 字符"/>
    <w:basedOn w:val="89"/>
    <w:link w:val="10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208">
    <w:name w:val="称呼 字符"/>
    <w:basedOn w:val="89"/>
    <w:link w:val="33"/>
    <w:qFormat/>
    <w:uiPriority w:val="0"/>
    <w:rPr>
      <w:kern w:val="2"/>
      <w:sz w:val="21"/>
      <w:szCs w:val="24"/>
    </w:rPr>
  </w:style>
  <w:style w:type="character" w:customStyle="1" w:styleId="209">
    <w:name w:val="纯文本 字符"/>
    <w:basedOn w:val="89"/>
    <w:link w:val="47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10">
    <w:name w:val="电子邮件签名 字符"/>
    <w:basedOn w:val="89"/>
    <w:link w:val="23"/>
    <w:qFormat/>
    <w:uiPriority w:val="0"/>
    <w:rPr>
      <w:kern w:val="2"/>
      <w:sz w:val="21"/>
      <w:szCs w:val="24"/>
    </w:rPr>
  </w:style>
  <w:style w:type="character" w:customStyle="1" w:styleId="211">
    <w:name w:val="副标题 字符"/>
    <w:basedOn w:val="89"/>
    <w:link w:val="68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12">
    <w:name w:val="宏文本 字符"/>
    <w:basedOn w:val="89"/>
    <w:link w:val="19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213">
    <w:name w:val="结束语 字符"/>
    <w:basedOn w:val="89"/>
    <w:link w:val="35"/>
    <w:qFormat/>
    <w:uiPriority w:val="0"/>
    <w:rPr>
      <w:kern w:val="2"/>
      <w:sz w:val="21"/>
      <w:szCs w:val="24"/>
    </w:rPr>
  </w:style>
  <w:style w:type="paragraph" w:customStyle="1" w:styleId="214">
    <w:name w:val="List Paragraph"/>
    <w:basedOn w:val="1"/>
    <w:qFormat/>
    <w:uiPriority w:val="34"/>
    <w:pPr>
      <w:ind w:firstLine="420" w:firstLineChars="200"/>
    </w:pPr>
  </w:style>
  <w:style w:type="paragraph" w:customStyle="1" w:styleId="215">
    <w:name w:val="Intense Quote"/>
    <w:basedOn w:val="1"/>
    <w:next w:val="1"/>
    <w:link w:val="216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16">
    <w:name w:val="明显引用 字符"/>
    <w:basedOn w:val="89"/>
    <w:link w:val="215"/>
    <w:qFormat/>
    <w:uiPriority w:val="30"/>
    <w:rPr>
      <w:b/>
      <w:bCs/>
      <w:i/>
      <w:iCs/>
      <w:color w:val="4F81BD"/>
      <w:kern w:val="2"/>
      <w:sz w:val="21"/>
      <w:szCs w:val="24"/>
    </w:rPr>
  </w:style>
  <w:style w:type="character" w:customStyle="1" w:styleId="217">
    <w:name w:val="批注框文本 字符"/>
    <w:basedOn w:val="89"/>
    <w:link w:val="56"/>
    <w:qFormat/>
    <w:uiPriority w:val="0"/>
    <w:rPr>
      <w:kern w:val="2"/>
      <w:sz w:val="18"/>
      <w:szCs w:val="18"/>
    </w:rPr>
  </w:style>
  <w:style w:type="character" w:customStyle="1" w:styleId="218">
    <w:name w:val="批注文字 字符"/>
    <w:basedOn w:val="89"/>
    <w:link w:val="13"/>
    <w:qFormat/>
    <w:uiPriority w:val="0"/>
    <w:rPr>
      <w:kern w:val="2"/>
      <w:sz w:val="21"/>
      <w:szCs w:val="24"/>
    </w:rPr>
  </w:style>
  <w:style w:type="character" w:customStyle="1" w:styleId="219">
    <w:name w:val="批注主题 字符"/>
    <w:basedOn w:val="218"/>
    <w:link w:val="12"/>
    <w:qFormat/>
    <w:uiPriority w:val="0"/>
    <w:rPr>
      <w:b/>
      <w:bCs/>
      <w:kern w:val="2"/>
      <w:sz w:val="21"/>
      <w:szCs w:val="24"/>
    </w:rPr>
  </w:style>
  <w:style w:type="character" w:customStyle="1" w:styleId="220">
    <w:name w:val="签名 字符"/>
    <w:basedOn w:val="89"/>
    <w:link w:val="61"/>
    <w:qFormat/>
    <w:uiPriority w:val="0"/>
    <w:rPr>
      <w:kern w:val="2"/>
      <w:sz w:val="21"/>
      <w:szCs w:val="24"/>
    </w:rPr>
  </w:style>
  <w:style w:type="character" w:customStyle="1" w:styleId="221">
    <w:name w:val="日期 字符"/>
    <w:basedOn w:val="89"/>
    <w:link w:val="52"/>
    <w:qFormat/>
    <w:uiPriority w:val="0"/>
    <w:rPr>
      <w:kern w:val="2"/>
      <w:sz w:val="21"/>
      <w:szCs w:val="24"/>
    </w:rPr>
  </w:style>
  <w:style w:type="paragraph" w:customStyle="1" w:styleId="222">
    <w:name w:val="Bibliography"/>
    <w:basedOn w:val="1"/>
    <w:next w:val="1"/>
    <w:unhideWhenUsed/>
    <w:qFormat/>
    <w:uiPriority w:val="37"/>
  </w:style>
  <w:style w:type="paragraph" w:customStyle="1" w:styleId="22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4">
    <w:name w:val="信息标题 字符"/>
    <w:basedOn w:val="89"/>
    <w:link w:val="83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paragraph" w:customStyle="1" w:styleId="225">
    <w:name w:val="Quote"/>
    <w:basedOn w:val="1"/>
    <w:next w:val="1"/>
    <w:link w:val="226"/>
    <w:qFormat/>
    <w:uiPriority w:val="29"/>
    <w:rPr>
      <w:i/>
      <w:iCs/>
      <w:color w:val="000000"/>
    </w:rPr>
  </w:style>
  <w:style w:type="character" w:customStyle="1" w:styleId="226">
    <w:name w:val="引用 字符"/>
    <w:basedOn w:val="89"/>
    <w:link w:val="225"/>
    <w:qFormat/>
    <w:uiPriority w:val="29"/>
    <w:rPr>
      <w:i/>
      <w:iCs/>
      <w:color w:val="000000"/>
      <w:kern w:val="2"/>
      <w:sz w:val="21"/>
      <w:szCs w:val="24"/>
    </w:rPr>
  </w:style>
  <w:style w:type="character" w:customStyle="1" w:styleId="227">
    <w:name w:val="正文文本 字符"/>
    <w:basedOn w:val="89"/>
    <w:link w:val="16"/>
    <w:qFormat/>
    <w:uiPriority w:val="0"/>
    <w:rPr>
      <w:kern w:val="2"/>
      <w:sz w:val="21"/>
      <w:szCs w:val="24"/>
    </w:rPr>
  </w:style>
  <w:style w:type="character" w:customStyle="1" w:styleId="228">
    <w:name w:val="正文首行缩进 字符"/>
    <w:basedOn w:val="227"/>
    <w:link w:val="15"/>
    <w:qFormat/>
    <w:uiPriority w:val="0"/>
    <w:rPr>
      <w:kern w:val="2"/>
      <w:sz w:val="21"/>
      <w:szCs w:val="24"/>
    </w:rPr>
  </w:style>
  <w:style w:type="character" w:customStyle="1" w:styleId="229">
    <w:name w:val="正文文本缩进 字符"/>
    <w:basedOn w:val="89"/>
    <w:link w:val="37"/>
    <w:qFormat/>
    <w:uiPriority w:val="0"/>
    <w:rPr>
      <w:kern w:val="2"/>
      <w:sz w:val="21"/>
      <w:szCs w:val="24"/>
    </w:rPr>
  </w:style>
  <w:style w:type="character" w:customStyle="1" w:styleId="230">
    <w:name w:val="正文首行缩进 2 字符"/>
    <w:basedOn w:val="229"/>
    <w:link w:val="59"/>
    <w:qFormat/>
    <w:uiPriority w:val="0"/>
    <w:rPr>
      <w:kern w:val="2"/>
      <w:sz w:val="21"/>
      <w:szCs w:val="24"/>
    </w:rPr>
  </w:style>
  <w:style w:type="character" w:customStyle="1" w:styleId="231">
    <w:name w:val="正文文本 2 字符"/>
    <w:basedOn w:val="89"/>
    <w:link w:val="80"/>
    <w:qFormat/>
    <w:uiPriority w:val="0"/>
    <w:rPr>
      <w:kern w:val="2"/>
      <w:sz w:val="21"/>
      <w:szCs w:val="24"/>
    </w:rPr>
  </w:style>
  <w:style w:type="character" w:customStyle="1" w:styleId="232">
    <w:name w:val="正文文本 3 字符"/>
    <w:basedOn w:val="89"/>
    <w:link w:val="34"/>
    <w:qFormat/>
    <w:uiPriority w:val="0"/>
    <w:rPr>
      <w:kern w:val="2"/>
      <w:sz w:val="16"/>
      <w:szCs w:val="16"/>
    </w:rPr>
  </w:style>
  <w:style w:type="character" w:customStyle="1" w:styleId="233">
    <w:name w:val="正文文本缩进 2 字符"/>
    <w:basedOn w:val="89"/>
    <w:link w:val="53"/>
    <w:qFormat/>
    <w:uiPriority w:val="0"/>
    <w:rPr>
      <w:kern w:val="2"/>
      <w:sz w:val="21"/>
      <w:szCs w:val="24"/>
    </w:rPr>
  </w:style>
  <w:style w:type="character" w:customStyle="1" w:styleId="234">
    <w:name w:val="正文文本缩进 3 字符"/>
    <w:basedOn w:val="89"/>
    <w:link w:val="74"/>
    <w:qFormat/>
    <w:uiPriority w:val="0"/>
    <w:rPr>
      <w:kern w:val="2"/>
      <w:sz w:val="16"/>
      <w:szCs w:val="16"/>
    </w:rPr>
  </w:style>
  <w:style w:type="character" w:customStyle="1" w:styleId="235">
    <w:name w:val="注释标题 字符"/>
    <w:basedOn w:val="89"/>
    <w:link w:val="20"/>
    <w:qFormat/>
    <w:uiPriority w:val="0"/>
    <w:rPr>
      <w:kern w:val="2"/>
      <w:sz w:val="21"/>
      <w:szCs w:val="24"/>
    </w:rPr>
  </w:style>
  <w:style w:type="paragraph" w:customStyle="1" w:styleId="236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237">
    <w:name w:val="doc_title"/>
    <w:basedOn w:val="8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9"/>
    <customShpInfo spid="_x0000_s1036"/>
    <customShpInfo spid="_x0000_s1038"/>
    <customShpInfo spid="_x0000_s1037"/>
    <customShpInfo spid="_x0000_s1034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954E10-02C4-4FCE-A3DC-AF1507919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zle</Company>
  <Pages>11</Pages>
  <Words>971</Words>
  <Characters>5539</Characters>
  <Lines>46</Lines>
  <Paragraphs>12</Paragraphs>
  <ScaleCrop>false</ScaleCrop>
  <LinksUpToDate>false</LinksUpToDate>
  <CharactersWithSpaces>6498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2017-10-09T02:33:00Z</dcterms:created>
  <dc:creator>CNIS</dc:creator>
  <cp:lastModifiedBy>tianjiarun</cp:lastModifiedBy>
  <cp:lastPrinted>2017-06-09T08:22:00Z</cp:lastPrinted>
  <dcterms:modified xsi:type="dcterms:W3CDTF">2017-10-20T10:51:26Z</dcterms:modified>
  <dc:title>标准名称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